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2410"/>
        <w:gridCol w:w="3261"/>
      </w:tblGrid>
      <w:tr w:rsidR="00CB7241" w:rsidRPr="00690E8C" w:rsidTr="001D3F5C">
        <w:tc>
          <w:tcPr>
            <w:tcW w:w="1702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bookmarkStart w:id="0" w:name="_Toc430545999"/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Vlastník procesu</w:t>
            </w:r>
          </w:p>
        </w:tc>
        <w:tc>
          <w:tcPr>
            <w:tcW w:w="8364" w:type="dxa"/>
            <w:gridSpan w:val="3"/>
            <w:vAlign w:val="center"/>
          </w:tcPr>
          <w:p w:rsidR="00CB7241" w:rsidRPr="00690E8C" w:rsidRDefault="00A11626" w:rsidP="00A116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Predseda Metodickej komisie </w:t>
            </w:r>
            <w:r w:rsidR="00CB7241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AC ZSVTS</w:t>
            </w:r>
          </w:p>
        </w:tc>
      </w:tr>
      <w:tr w:rsidR="00CB7241" w:rsidRPr="00690E8C" w:rsidTr="001D3F5C">
        <w:trPr>
          <w:trHeight w:val="528"/>
        </w:trPr>
        <w:tc>
          <w:tcPr>
            <w:tcW w:w="1702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Účel</w:t>
            </w:r>
          </w:p>
        </w:tc>
        <w:tc>
          <w:tcPr>
            <w:tcW w:w="8364" w:type="dxa"/>
            <w:gridSpan w:val="3"/>
          </w:tcPr>
          <w:p w:rsidR="00CB7241" w:rsidRPr="00690E8C" w:rsidRDefault="00CB7241" w:rsidP="00A1162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S</w:t>
            </w:r>
            <w:r w:rsidR="00A11626" w:rsidRPr="00690E8C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>tanoviť kritériá a štandardy pre študijné programy akreditované pre udelenie značky EUR-ACE</w:t>
            </w: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CB7241" w:rsidRPr="00690E8C" w:rsidTr="001D3F5C">
        <w:tc>
          <w:tcPr>
            <w:tcW w:w="1702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Informovať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CB7241" w:rsidRPr="00690E8C" w:rsidRDefault="00A11626" w:rsidP="00A1162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Členov Rady</w:t>
            </w:r>
            <w:r w:rsidR="00CB7241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 AC ZSVTS </w:t>
            </w:r>
            <w:proofErr w:type="spellStart"/>
            <w:r w:rsidR="00CB7241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Council</w:t>
            </w:r>
            <w:proofErr w:type="spellEnd"/>
            <w:r w:rsidR="00CB7241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, </w:t>
            </w: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Komisie AC ZSVTS</w:t>
            </w:r>
          </w:p>
        </w:tc>
      </w:tr>
      <w:tr w:rsidR="00CB7241" w:rsidRPr="00690E8C" w:rsidTr="001D3F5C">
        <w:trPr>
          <w:cantSplit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</w:tcPr>
          <w:p w:rsidR="00CB7241" w:rsidRPr="00690E8C" w:rsidRDefault="00CB7241" w:rsidP="00CB7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Pripravil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Overil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CB7241" w:rsidRPr="00690E8C" w:rsidRDefault="00A11626" w:rsidP="00A116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Odsúhlasil za</w:t>
            </w:r>
            <w:r w:rsidR="00CB7241"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 xml:space="preserve"> AC ZSVTS</w:t>
            </w:r>
          </w:p>
        </w:tc>
      </w:tr>
      <w:tr w:rsidR="00CB7241" w:rsidRPr="00690E8C" w:rsidTr="001D3F5C">
        <w:trPr>
          <w:cantSplit/>
        </w:trPr>
        <w:tc>
          <w:tcPr>
            <w:tcW w:w="1702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Meno</w:t>
            </w:r>
          </w:p>
        </w:tc>
        <w:tc>
          <w:tcPr>
            <w:tcW w:w="2693" w:type="dxa"/>
            <w:vAlign w:val="center"/>
          </w:tcPr>
          <w:p w:rsidR="00CB7241" w:rsidRPr="00690E8C" w:rsidRDefault="00CB7241" w:rsidP="00CB72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Dušan Jamrich</w:t>
            </w:r>
          </w:p>
        </w:tc>
        <w:tc>
          <w:tcPr>
            <w:tcW w:w="2410" w:type="dxa"/>
            <w:vAlign w:val="center"/>
          </w:tcPr>
          <w:p w:rsidR="00CB7241" w:rsidRPr="00690E8C" w:rsidRDefault="00A95640" w:rsidP="00CB72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Ján </w:t>
            </w:r>
            <w:proofErr w:type="spellStart"/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Lešinský</w:t>
            </w:r>
            <w:proofErr w:type="spellEnd"/>
          </w:p>
        </w:tc>
        <w:tc>
          <w:tcPr>
            <w:tcW w:w="3261" w:type="dxa"/>
            <w:vAlign w:val="center"/>
          </w:tcPr>
          <w:p w:rsidR="00CB7241" w:rsidRPr="00690E8C" w:rsidRDefault="00CB7241" w:rsidP="00CB724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Dušan Petráš</w:t>
            </w:r>
          </w:p>
        </w:tc>
      </w:tr>
      <w:tr w:rsidR="00CB7241" w:rsidRPr="00690E8C" w:rsidTr="001D3F5C">
        <w:trPr>
          <w:cantSplit/>
        </w:trPr>
        <w:tc>
          <w:tcPr>
            <w:tcW w:w="1702" w:type="dxa"/>
            <w:shd w:val="clear" w:color="auto" w:fill="F2F2F2"/>
            <w:vAlign w:val="center"/>
          </w:tcPr>
          <w:p w:rsidR="00CB7241" w:rsidRPr="00690E8C" w:rsidRDefault="00A11626" w:rsidP="00CB7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b/>
                <w:sz w:val="18"/>
                <w:szCs w:val="18"/>
                <w:lang w:eastAsia="sk-SK"/>
              </w:rPr>
              <w:t>Funkcia</w:t>
            </w:r>
          </w:p>
        </w:tc>
        <w:tc>
          <w:tcPr>
            <w:tcW w:w="2693" w:type="dxa"/>
            <w:vAlign w:val="center"/>
          </w:tcPr>
          <w:p w:rsidR="00CB7241" w:rsidRPr="00690E8C" w:rsidRDefault="00A11626" w:rsidP="00A116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Riaditeľ</w:t>
            </w:r>
            <w:r w:rsidR="00CB7241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 AC ZSVTS</w:t>
            </w:r>
          </w:p>
        </w:tc>
        <w:tc>
          <w:tcPr>
            <w:tcW w:w="2410" w:type="dxa"/>
            <w:vAlign w:val="center"/>
          </w:tcPr>
          <w:p w:rsidR="00CB7241" w:rsidRPr="00690E8C" w:rsidRDefault="00A11626" w:rsidP="00A116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Predseda Metodickej komisie</w:t>
            </w:r>
            <w:r w:rsidR="00A95640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 AC ZSVTS</w:t>
            </w:r>
          </w:p>
        </w:tc>
        <w:tc>
          <w:tcPr>
            <w:tcW w:w="3261" w:type="dxa"/>
            <w:vAlign w:val="center"/>
          </w:tcPr>
          <w:p w:rsidR="00CB7241" w:rsidRPr="00690E8C" w:rsidRDefault="00A11626" w:rsidP="00A116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</w:pPr>
            <w:r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>Predseda</w:t>
            </w:r>
            <w:r w:rsidR="00CB7241" w:rsidRPr="00690E8C">
              <w:rPr>
                <w:rFonts w:ascii="Arial" w:eastAsia="Times New Roman" w:hAnsi="Arial" w:cs="Times New Roman"/>
                <w:sz w:val="18"/>
                <w:szCs w:val="18"/>
                <w:lang w:eastAsia="sk-SK"/>
              </w:rPr>
              <w:t xml:space="preserve"> AC ZSVTS</w:t>
            </w:r>
          </w:p>
        </w:tc>
      </w:tr>
    </w:tbl>
    <w:p w:rsidR="00CB7241" w:rsidRPr="00690E8C" w:rsidRDefault="00CB7241">
      <w:pPr>
        <w:rPr>
          <w:rFonts w:ascii="Arial" w:hAnsi="Arial" w:cs="Arial"/>
        </w:rPr>
      </w:pPr>
    </w:p>
    <w:bookmarkEnd w:id="0"/>
    <w:p w:rsidR="00F97DCE" w:rsidRPr="00690E8C" w:rsidRDefault="00227A17" w:rsidP="00F97D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0E8C">
        <w:rPr>
          <w:rFonts w:ascii="Arial" w:hAnsi="Arial" w:cs="Arial"/>
          <w:sz w:val="20"/>
          <w:szCs w:val="20"/>
        </w:rPr>
        <w:t>Na</w:t>
      </w:r>
      <w:r w:rsidR="00A11626" w:rsidRPr="00690E8C">
        <w:rPr>
          <w:rFonts w:ascii="Arial" w:hAnsi="Arial" w:cs="Arial"/>
          <w:sz w:val="20"/>
          <w:szCs w:val="20"/>
        </w:rPr>
        <w:t xml:space="preserve">sledujúce kritériá </w:t>
      </w:r>
      <w:r w:rsidRPr="00690E8C">
        <w:rPr>
          <w:rFonts w:ascii="Arial" w:hAnsi="Arial" w:cs="Arial"/>
          <w:sz w:val="20"/>
          <w:szCs w:val="20"/>
        </w:rPr>
        <w:t xml:space="preserve">a štandardy </w:t>
      </w:r>
      <w:r w:rsidR="00A11626" w:rsidRPr="00690E8C">
        <w:rPr>
          <w:rFonts w:ascii="Arial" w:hAnsi="Arial" w:cs="Arial"/>
          <w:sz w:val="20"/>
          <w:szCs w:val="20"/>
        </w:rPr>
        <w:t>sú</w:t>
      </w:r>
    </w:p>
    <w:p w:rsidR="00786294" w:rsidRPr="00690E8C" w:rsidRDefault="00A11626" w:rsidP="00F97DCE">
      <w:pPr>
        <w:pStyle w:val="Odsekzoznamu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0E8C">
        <w:rPr>
          <w:rFonts w:ascii="Arial" w:hAnsi="Arial" w:cs="Arial"/>
          <w:sz w:val="20"/>
          <w:szCs w:val="20"/>
        </w:rPr>
        <w:t xml:space="preserve">založené na požiadavkách stanovených v dokumente </w:t>
      </w:r>
      <w:r w:rsidR="00F97DCE" w:rsidRPr="00690E8C">
        <w:rPr>
          <w:rFonts w:ascii="Arial" w:hAnsi="Arial" w:cs="Arial"/>
          <w:sz w:val="20"/>
          <w:szCs w:val="20"/>
        </w:rPr>
        <w:t>"</w:t>
      </w:r>
      <w:r w:rsidR="00CF7EFC" w:rsidRPr="00690E8C">
        <w:rPr>
          <w:rFonts w:ascii="Arial" w:hAnsi="Arial" w:cs="Arial"/>
          <w:sz w:val="20"/>
          <w:szCs w:val="20"/>
        </w:rPr>
        <w:t xml:space="preserve">EUR-ACE® </w:t>
      </w:r>
      <w:proofErr w:type="spellStart"/>
      <w:r w:rsidR="00CF7EFC" w:rsidRPr="00690E8C">
        <w:rPr>
          <w:rFonts w:ascii="Arial" w:hAnsi="Arial" w:cs="Arial"/>
          <w:sz w:val="20"/>
          <w:szCs w:val="20"/>
        </w:rPr>
        <w:t>Framework</w:t>
      </w:r>
      <w:proofErr w:type="spellEnd"/>
      <w:r w:rsidR="00CF7EFC" w:rsidRPr="00690E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7EFC" w:rsidRPr="00690E8C">
        <w:rPr>
          <w:rFonts w:ascii="Arial" w:hAnsi="Arial" w:cs="Arial"/>
          <w:sz w:val="20"/>
          <w:szCs w:val="20"/>
        </w:rPr>
        <w:t>Standards</w:t>
      </w:r>
      <w:proofErr w:type="spellEnd"/>
      <w:r w:rsidR="00CF7EFC" w:rsidRPr="00690E8C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CF7EFC" w:rsidRPr="00690E8C">
        <w:rPr>
          <w:rFonts w:ascii="Arial" w:hAnsi="Arial" w:cs="Arial"/>
          <w:sz w:val="20"/>
          <w:szCs w:val="20"/>
        </w:rPr>
        <w:t>Guidelines</w:t>
      </w:r>
      <w:proofErr w:type="spellEnd"/>
      <w:r w:rsidR="00F97DCE" w:rsidRPr="00690E8C">
        <w:rPr>
          <w:rFonts w:ascii="Arial" w:hAnsi="Arial" w:cs="Arial"/>
          <w:sz w:val="20"/>
          <w:szCs w:val="20"/>
        </w:rPr>
        <w:t>"</w:t>
      </w:r>
      <w:r w:rsidR="00CF7EFC" w:rsidRPr="00690E8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CF7EFC" w:rsidRPr="00690E8C">
        <w:rPr>
          <w:rFonts w:ascii="Arial" w:hAnsi="Arial" w:cs="Arial"/>
          <w:sz w:val="20"/>
          <w:szCs w:val="20"/>
        </w:rPr>
        <w:t>Edition</w:t>
      </w:r>
      <w:proofErr w:type="spellEnd"/>
      <w:r w:rsidR="00CF7EFC" w:rsidRPr="00690E8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7EFC" w:rsidRPr="00690E8C">
        <w:rPr>
          <w:rFonts w:ascii="Arial" w:hAnsi="Arial" w:cs="Arial"/>
          <w:sz w:val="20"/>
          <w:szCs w:val="20"/>
        </w:rPr>
        <w:t>March</w:t>
      </w:r>
      <w:proofErr w:type="spellEnd"/>
      <w:r w:rsidR="00CF7EFC" w:rsidRPr="00690E8C">
        <w:rPr>
          <w:rFonts w:ascii="Arial" w:hAnsi="Arial" w:cs="Arial"/>
          <w:sz w:val="20"/>
          <w:szCs w:val="20"/>
        </w:rPr>
        <w:t xml:space="preserve"> 2015</w:t>
      </w:r>
      <w:r w:rsidR="00F97DCE" w:rsidRPr="00690E8C">
        <w:rPr>
          <w:rFonts w:ascii="Arial" w:hAnsi="Arial" w:cs="Arial"/>
          <w:sz w:val="20"/>
          <w:szCs w:val="20"/>
        </w:rPr>
        <w:t>)</w:t>
      </w:r>
    </w:p>
    <w:p w:rsidR="000215DD" w:rsidRPr="00690E8C" w:rsidRDefault="00A11626" w:rsidP="00CB7241">
      <w:pPr>
        <w:pStyle w:val="Odsekzoznamu"/>
        <w:numPr>
          <w:ilvl w:val="0"/>
          <w:numId w:val="2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0E8C">
        <w:rPr>
          <w:rFonts w:ascii="Arial" w:hAnsi="Arial" w:cs="Arial"/>
          <w:sz w:val="20"/>
          <w:szCs w:val="20"/>
        </w:rPr>
        <w:t>aplikovateľné na technické študijné programy vysokých škôl (HEI)</w:t>
      </w:r>
    </w:p>
    <w:p w:rsidR="00CB7241" w:rsidRPr="00690E8C" w:rsidRDefault="00CB7241" w:rsidP="00CB7241">
      <w:pPr>
        <w:pStyle w:val="Odsekzoznamu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B3D21" w:rsidRPr="00CC1DDE" w:rsidRDefault="00A11626" w:rsidP="00251033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1" w:name="_Toc430545896"/>
      <w:bookmarkStart w:id="2" w:name="_Toc430546000"/>
      <w:bookmarkStart w:id="3" w:name="_Toc430546084"/>
      <w:r w:rsidRPr="00CC1DDE">
        <w:rPr>
          <w:rFonts w:ascii="Arial" w:hAnsi="Arial" w:cs="Arial"/>
          <w:color w:val="auto"/>
          <w:sz w:val="24"/>
          <w:szCs w:val="24"/>
        </w:rPr>
        <w:t>Kritériá a štandardy akreditácie - Organizácia študijného programu</w:t>
      </w:r>
      <w:bookmarkEnd w:id="1"/>
      <w:bookmarkEnd w:id="2"/>
      <w:bookmarkEnd w:id="3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CF7EFC" w:rsidRPr="00690E8C" w:rsidTr="00D223A6">
        <w:tc>
          <w:tcPr>
            <w:tcW w:w="9634" w:type="dxa"/>
            <w:gridSpan w:val="2"/>
          </w:tcPr>
          <w:p w:rsidR="00CF7EFC" w:rsidRPr="00690E8C" w:rsidRDefault="005A2871" w:rsidP="00227A17">
            <w:pPr>
              <w:pStyle w:val="Nadpis1"/>
            </w:pPr>
            <w:r w:rsidRPr="00690E8C">
              <w:t xml:space="preserve">1. </w:t>
            </w:r>
            <w:r w:rsidR="00227A17" w:rsidRPr="00690E8C">
              <w:t>Ciele programu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227A17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Kritériá</w:t>
            </w:r>
          </w:p>
        </w:tc>
        <w:tc>
          <w:tcPr>
            <w:tcW w:w="6662" w:type="dxa"/>
          </w:tcPr>
          <w:p w:rsidR="00B35760" w:rsidRPr="00CC1DDE" w:rsidRDefault="00227A17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Štandardy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3C6A5B" w:rsidP="00B70DEB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1.1 </w:t>
            </w:r>
            <w:r w:rsidR="00B70DEB" w:rsidRPr="00CC1DDE">
              <w:rPr>
                <w:rFonts w:cs="Arial"/>
                <w:b/>
              </w:rPr>
              <w:t>Potreby trhu a zainteresovaných strán týkajúce sa vzdelávania</w:t>
            </w:r>
          </w:p>
        </w:tc>
        <w:tc>
          <w:tcPr>
            <w:tcW w:w="6662" w:type="dxa"/>
          </w:tcPr>
          <w:p w:rsidR="00A7692E" w:rsidRPr="00CC1DDE" w:rsidRDefault="00A7692E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Sú identifikované zainteresované strany (napr. študenti, podniky, inštitúcie a pod.), ktoré maj</w:t>
            </w:r>
            <w:r w:rsidR="002330DE" w:rsidRPr="00CC1DDE">
              <w:t>ú záujem na uskutočňovaní študijného programu</w:t>
            </w:r>
            <w:r w:rsidRPr="00CC1DDE">
              <w:t xml:space="preserve">. </w:t>
            </w:r>
          </w:p>
          <w:p w:rsidR="00A7692E" w:rsidRPr="00CC1DDE" w:rsidRDefault="00A11626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Metódy a plány konzultácií so zainteresovanými stranami sú dokumentované</w:t>
            </w:r>
            <w:r w:rsidR="00A7692E" w:rsidRPr="00CC1DDE">
              <w:t xml:space="preserve">. </w:t>
            </w:r>
          </w:p>
          <w:p w:rsidR="00A11626" w:rsidRPr="00CC1DDE" w:rsidRDefault="00A11626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 xml:space="preserve">Sú identifikované potreby trhu </w:t>
            </w:r>
            <w:r w:rsidR="00B70DEB" w:rsidRPr="00CC1DDE">
              <w:t xml:space="preserve">práce </w:t>
            </w:r>
            <w:r w:rsidRPr="00CC1DDE">
              <w:t xml:space="preserve">a zainteresovaných strán týkajúce sa </w:t>
            </w:r>
            <w:r w:rsidR="00B70DEB" w:rsidRPr="00CC1DDE">
              <w:t>vzdelávania</w:t>
            </w:r>
            <w:r w:rsidR="002330DE" w:rsidRPr="00CC1DDE">
              <w:t>.</w:t>
            </w:r>
          </w:p>
          <w:p w:rsidR="00A7692E" w:rsidRPr="00CC1DDE" w:rsidRDefault="00B70DEB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Študijný program zodpovedá potrebám zainteresovaných strán čo sa týka vzdelávania. Tieto potreby sú premietnuté do profilu absolventov.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B35760" w:rsidP="00B70DEB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1.2.</w:t>
            </w:r>
            <w:r w:rsidR="00CF7EFC" w:rsidRPr="00CC1DDE">
              <w:rPr>
                <w:rFonts w:cs="Arial"/>
                <w:b/>
              </w:rPr>
              <w:t xml:space="preserve"> </w:t>
            </w:r>
            <w:r w:rsidR="00B70DEB" w:rsidRPr="00CC1DDE">
              <w:rPr>
                <w:rFonts w:cs="Arial"/>
                <w:b/>
              </w:rPr>
              <w:t>Ciele programu</w:t>
            </w:r>
          </w:p>
        </w:tc>
        <w:tc>
          <w:tcPr>
            <w:tcW w:w="6662" w:type="dxa"/>
          </w:tcPr>
          <w:p w:rsidR="00B70DEB" w:rsidRPr="00CC1DDE" w:rsidRDefault="00B70DEB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Ciele programu sú jasne formulované a dokumentované</w:t>
            </w:r>
            <w:r w:rsidR="002330DE" w:rsidRPr="00CC1DDE">
              <w:t>.</w:t>
            </w:r>
          </w:p>
          <w:p w:rsidR="00B70DEB" w:rsidRPr="00CC1DDE" w:rsidRDefault="00B70DEB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Ciele programu sú premietnuté v odborných profiloch absolventov</w:t>
            </w:r>
            <w:r w:rsidR="002330DE" w:rsidRPr="00CC1DDE">
              <w:t>.</w:t>
            </w:r>
          </w:p>
          <w:p w:rsidR="00B70DEB" w:rsidRPr="00CC1DDE" w:rsidRDefault="00B70DEB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Ciele programu sú v zhode s poslaním vysokej školy a s potrebami trhu práce</w:t>
            </w:r>
            <w:r w:rsidR="002330DE" w:rsidRPr="00CC1DDE">
              <w:t>.</w:t>
            </w:r>
          </w:p>
          <w:p w:rsidR="00A7692E" w:rsidRPr="00CC1DDE" w:rsidRDefault="002330DE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CC1DDE">
              <w:t>Vzdelávacie ciele študijného programu</w:t>
            </w:r>
            <w:r w:rsidR="00A7692E" w:rsidRPr="00CC1DDE">
              <w:t xml:space="preserve"> (profil absolv</w:t>
            </w:r>
            <w:r w:rsidRPr="00CC1DDE">
              <w:t>enta) sú v súlade s poslaním vysokej školy</w:t>
            </w:r>
            <w:r w:rsidR="00A7692E" w:rsidRPr="00CC1DDE">
              <w:t xml:space="preserve"> a s potrebami zainteresovaných strán.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B35760" w:rsidP="00B70DEB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1.3.</w:t>
            </w:r>
            <w:r w:rsidR="00CF7EFC" w:rsidRPr="00CC1DDE">
              <w:rPr>
                <w:rFonts w:cs="Arial"/>
                <w:b/>
              </w:rPr>
              <w:t xml:space="preserve"> </w:t>
            </w:r>
            <w:r w:rsidR="00B70DEB" w:rsidRPr="00CC1DDE">
              <w:rPr>
                <w:rFonts w:cs="Arial"/>
                <w:b/>
              </w:rPr>
              <w:t>Výstupy programu</w:t>
            </w:r>
          </w:p>
        </w:tc>
        <w:tc>
          <w:tcPr>
            <w:tcW w:w="6662" w:type="dxa"/>
          </w:tcPr>
          <w:p w:rsidR="00B70DEB" w:rsidRPr="00CC1DDE" w:rsidRDefault="00A7692E" w:rsidP="00B70DEB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CC1DDE">
              <w:t xml:space="preserve">Výstupy študijného programu </w:t>
            </w:r>
            <w:r w:rsidR="00B70DEB" w:rsidRPr="00CC1DDE">
              <w:t>stanovujú, čo majú študenti vedieť, rozumieť alebo byť schopní preukázať po ukončení vzdelávacieho procesu</w:t>
            </w:r>
          </w:p>
          <w:p w:rsidR="00B70DEB" w:rsidRPr="00CC1DDE" w:rsidRDefault="00B70DEB" w:rsidP="00B70DEB">
            <w:pPr>
              <w:pStyle w:val="Odsekzoznamu"/>
              <w:numPr>
                <w:ilvl w:val="0"/>
                <w:numId w:val="24"/>
              </w:numPr>
              <w:spacing w:after="0" w:line="240" w:lineRule="auto"/>
              <w:rPr>
                <w:rFonts w:cs="Arial"/>
              </w:rPr>
            </w:pPr>
            <w:r w:rsidRPr="00CC1DDE">
              <w:t>Výstupy programu sú v súlade s</w:t>
            </w:r>
          </w:p>
          <w:p w:rsidR="00B70DEB" w:rsidRPr="00CC1DDE" w:rsidRDefault="00B70DEB" w:rsidP="00B70DEB">
            <w:pPr>
              <w:pStyle w:val="Odsekzoznamu"/>
              <w:numPr>
                <w:ilvl w:val="1"/>
                <w:numId w:val="24"/>
              </w:numPr>
              <w:spacing w:after="0" w:line="240" w:lineRule="auto"/>
              <w:rPr>
                <w:rFonts w:cs="Arial"/>
              </w:rPr>
            </w:pPr>
            <w:r w:rsidRPr="00CC1DDE">
              <w:t>príslušným národným kvalifikačným rámcom</w:t>
            </w:r>
          </w:p>
          <w:p w:rsidR="003A2230" w:rsidRPr="00CC1DDE" w:rsidRDefault="003A2230" w:rsidP="00B70DEB">
            <w:pPr>
              <w:pStyle w:val="Odsekzoznamu"/>
              <w:numPr>
                <w:ilvl w:val="1"/>
                <w:numId w:val="24"/>
              </w:numPr>
              <w:spacing w:after="0" w:line="240" w:lineRule="auto"/>
              <w:rPr>
                <w:rFonts w:cs="Arial"/>
              </w:rPr>
            </w:pPr>
            <w:r w:rsidRPr="00CC1DDE">
              <w:t xml:space="preserve">akreditačným štandardom EUR-ACE pre </w:t>
            </w:r>
            <w:r w:rsidR="00B70DEB" w:rsidRPr="00CC1DDE">
              <w:t xml:space="preserve"> </w:t>
            </w:r>
            <w:r w:rsidRPr="00CC1DDE">
              <w:t>výstupy programov</w:t>
            </w:r>
          </w:p>
          <w:p w:rsidR="00A7692E" w:rsidRPr="00CC1DDE" w:rsidRDefault="003A2230" w:rsidP="003A2230">
            <w:pPr>
              <w:pStyle w:val="Odsekzoznamu"/>
              <w:numPr>
                <w:ilvl w:val="1"/>
                <w:numId w:val="24"/>
              </w:numPr>
              <w:spacing w:after="0" w:line="240" w:lineRule="auto"/>
              <w:rPr>
                <w:rFonts w:cs="Arial"/>
              </w:rPr>
            </w:pPr>
            <w:r w:rsidRPr="00CC1DDE">
              <w:t>cieľmi programu</w:t>
            </w:r>
            <w:r w:rsidR="002330DE" w:rsidRPr="00CC1DDE">
              <w:t>.</w:t>
            </w:r>
            <w:r w:rsidRPr="00CC1DDE">
              <w:t xml:space="preserve"> </w:t>
            </w:r>
          </w:p>
        </w:tc>
      </w:tr>
      <w:tr w:rsidR="00CF7EFC" w:rsidRPr="00690E8C" w:rsidTr="00F33966">
        <w:tc>
          <w:tcPr>
            <w:tcW w:w="9634" w:type="dxa"/>
            <w:gridSpan w:val="2"/>
          </w:tcPr>
          <w:p w:rsidR="005A2871" w:rsidRPr="00690E8C" w:rsidRDefault="005A2871" w:rsidP="002A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7EFC" w:rsidRPr="00690E8C" w:rsidRDefault="005A2871" w:rsidP="003A2230">
            <w:pPr>
              <w:pStyle w:val="Nadpis1"/>
            </w:pPr>
            <w:r w:rsidRPr="00690E8C">
              <w:lastRenderedPageBreak/>
              <w:t xml:space="preserve">2. </w:t>
            </w:r>
            <w:r w:rsidR="003A2230" w:rsidRPr="00690E8C">
              <w:t>Výukový a vzdelávací proces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EC6D38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lastRenderedPageBreak/>
              <w:t>Kritériá</w:t>
            </w:r>
          </w:p>
        </w:tc>
        <w:tc>
          <w:tcPr>
            <w:tcW w:w="6662" w:type="dxa"/>
          </w:tcPr>
          <w:p w:rsidR="00B35760" w:rsidRPr="00CC1DDE" w:rsidRDefault="00EC6D38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Štandardy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3C6A5B" w:rsidP="00227A17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2.1 </w:t>
            </w:r>
            <w:r w:rsidR="00227A17" w:rsidRPr="00CC1DDE">
              <w:rPr>
                <w:rFonts w:cs="Arial"/>
                <w:b/>
              </w:rPr>
              <w:t>Výukový a vzdelávací proces</w:t>
            </w:r>
          </w:p>
        </w:tc>
        <w:tc>
          <w:tcPr>
            <w:tcW w:w="6662" w:type="dxa"/>
          </w:tcPr>
          <w:p w:rsidR="003A2230" w:rsidRPr="00CC1DDE" w:rsidRDefault="003A2230" w:rsidP="00A7692E">
            <w:pPr>
              <w:numPr>
                <w:ilvl w:val="0"/>
                <w:numId w:val="2"/>
              </w:numPr>
              <w:spacing w:after="0" w:line="240" w:lineRule="auto"/>
            </w:pPr>
            <w:r w:rsidRPr="00CC1DDE">
              <w:t>Je dokumentovaný obsah programu a opis jeho charakteristík</w:t>
            </w:r>
            <w:r w:rsidR="002330DE" w:rsidRPr="00CC1DDE">
              <w:t>.</w:t>
            </w:r>
          </w:p>
          <w:p w:rsidR="003A2230" w:rsidRPr="00CC1DDE" w:rsidRDefault="003A2230" w:rsidP="00A7692E">
            <w:pPr>
              <w:numPr>
                <w:ilvl w:val="0"/>
                <w:numId w:val="2"/>
              </w:numPr>
              <w:spacing w:after="0" w:line="240" w:lineRule="auto"/>
            </w:pPr>
            <w:r w:rsidRPr="00CC1DDE">
              <w:t xml:space="preserve">Dokumentované </w:t>
            </w:r>
            <w:r w:rsidR="0089603F" w:rsidRPr="00CC1DDE">
              <w:t>sú moduly alebo časti programu</w:t>
            </w:r>
            <w:r w:rsidR="002330DE" w:rsidRPr="00CC1DDE">
              <w:t>,</w:t>
            </w:r>
            <w:r w:rsidR="0089603F" w:rsidRPr="00CC1DDE">
              <w:t xml:space="preserve"> hlavne pokiaľ ide o </w:t>
            </w:r>
            <w:r w:rsidR="00A1652E" w:rsidRPr="00CC1DDE">
              <w:t>počet ECTS kreditov, študijné</w:t>
            </w:r>
            <w:r w:rsidR="0089603F" w:rsidRPr="00CC1DDE">
              <w:t xml:space="preserve"> výstupy, obsah, typy výukových aktivít, hodnotenie </w:t>
            </w:r>
            <w:r w:rsidR="00A1652E" w:rsidRPr="00CC1DDE">
              <w:t>študijných výsledkov</w:t>
            </w:r>
            <w:r w:rsidR="0089603F" w:rsidRPr="00CC1DDE">
              <w:t xml:space="preserve">, </w:t>
            </w:r>
            <w:r w:rsidR="00A1652E" w:rsidRPr="00CC1DDE">
              <w:t>p</w:t>
            </w:r>
            <w:r w:rsidR="0089603F" w:rsidRPr="00CC1DDE">
              <w:t>redpo</w:t>
            </w:r>
            <w:r w:rsidR="002330DE" w:rsidRPr="00CC1DDE">
              <w:t>klady, didaktické pomôcky, atď.</w:t>
            </w:r>
          </w:p>
          <w:p w:rsidR="00A1652E" w:rsidRPr="00CC1DDE" w:rsidRDefault="0089603F" w:rsidP="00A7692E">
            <w:pPr>
              <w:numPr>
                <w:ilvl w:val="0"/>
                <w:numId w:val="2"/>
              </w:numPr>
              <w:spacing w:after="0" w:line="240" w:lineRule="auto"/>
            </w:pPr>
            <w:r w:rsidRPr="00CC1DDE">
              <w:t xml:space="preserve">Je dokumentovaná vhodnosť obsahu programu pre dosiahnutie jeho cieľov. </w:t>
            </w:r>
            <w:r w:rsidR="00A1652E" w:rsidRPr="00CC1DDE">
              <w:t>Sumy študijných výstupov tvoria výstupy programu.</w:t>
            </w:r>
          </w:p>
          <w:p w:rsidR="00A1652E" w:rsidRPr="00CC1DDE" w:rsidRDefault="00A1652E" w:rsidP="00A7692E">
            <w:pPr>
              <w:numPr>
                <w:ilvl w:val="0"/>
                <w:numId w:val="2"/>
              </w:numPr>
              <w:spacing w:after="0" w:line="240" w:lineRule="auto"/>
            </w:pPr>
            <w:r w:rsidRPr="00CC1DDE">
              <w:t>Obsah programu je oficiálne odsúhlasený vedením vysokej školy.</w:t>
            </w:r>
          </w:p>
          <w:p w:rsidR="00A7692E" w:rsidRPr="00CC1DDE" w:rsidRDefault="00A1652E" w:rsidP="00A7692E">
            <w:pPr>
              <w:numPr>
                <w:ilvl w:val="0"/>
                <w:numId w:val="2"/>
              </w:numPr>
              <w:spacing w:after="0" w:line="240" w:lineRule="auto"/>
            </w:pPr>
            <w:r w:rsidRPr="00CC1DDE">
              <w:t xml:space="preserve">Obsah </w:t>
            </w:r>
            <w:proofErr w:type="spellStart"/>
            <w:r w:rsidRPr="00CC1DDE">
              <w:t>prorgamu</w:t>
            </w:r>
            <w:proofErr w:type="spellEnd"/>
            <w:r w:rsidRPr="00CC1DDE">
              <w:t xml:space="preserve"> umožňuje flexibilné študijné plány a podporuje študentov v ich aktívnom prístupe k vzdelávaciemu procesu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3C6A5B" w:rsidP="00A1652E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2.2 </w:t>
            </w:r>
            <w:r w:rsidR="00A1652E" w:rsidRPr="00CC1DDE">
              <w:rPr>
                <w:rFonts w:cs="Arial"/>
                <w:b/>
              </w:rPr>
              <w:t>Hodnotenie študijných výsledkov</w:t>
            </w:r>
          </w:p>
        </w:tc>
        <w:tc>
          <w:tcPr>
            <w:tcW w:w="6662" w:type="dxa"/>
          </w:tcPr>
          <w:p w:rsidR="00A1652E" w:rsidRPr="00CC1DDE" w:rsidRDefault="00A1652E" w:rsidP="00A7692E">
            <w:pPr>
              <w:numPr>
                <w:ilvl w:val="0"/>
                <w:numId w:val="3"/>
              </w:numPr>
              <w:spacing w:after="0" w:line="240" w:lineRule="auto"/>
            </w:pPr>
            <w:r w:rsidRPr="00CC1DDE">
              <w:t>Metódy a kritériá hodnotenia študijných výsledkov študentov sú zahrnuté v charakteristikách modulov alebo častiach programu</w:t>
            </w:r>
            <w:r w:rsidR="002330DE" w:rsidRPr="00CC1DDE">
              <w:t>.</w:t>
            </w:r>
          </w:p>
          <w:p w:rsidR="00A1652E" w:rsidRPr="00CC1DDE" w:rsidRDefault="00A1652E" w:rsidP="00A7692E">
            <w:pPr>
              <w:numPr>
                <w:ilvl w:val="0"/>
                <w:numId w:val="3"/>
              </w:numPr>
              <w:spacing w:after="0" w:line="240" w:lineRule="auto"/>
            </w:pPr>
            <w:r w:rsidRPr="00CC1DDE">
              <w:t>Metódy a kritér</w:t>
            </w:r>
            <w:r w:rsidR="007D3B3C" w:rsidRPr="00CC1DDE">
              <w:t xml:space="preserve">iá hodnotenia </w:t>
            </w:r>
            <w:r w:rsidRPr="00CC1DDE">
              <w:t>sú vhodné pre overenie efektívneho dosiahnutia plánovaných vzdelávacích výstupov mo</w:t>
            </w:r>
            <w:r w:rsidR="007D3B3C" w:rsidRPr="00CC1DDE">
              <w:t xml:space="preserve">dulov alebo častí programu a </w:t>
            </w:r>
            <w:r w:rsidR="0039029E" w:rsidRPr="00CC1DDE">
              <w:t>sú vierohodným hodnotením stupňa dosiahnutia výstupov.</w:t>
            </w:r>
            <w:r w:rsidRPr="00CC1DDE">
              <w:t xml:space="preserve"> </w:t>
            </w:r>
          </w:p>
          <w:p w:rsidR="00A7692E" w:rsidRPr="00CC1DDE" w:rsidRDefault="007D3B3C" w:rsidP="00EF03BF">
            <w:pPr>
              <w:numPr>
                <w:ilvl w:val="0"/>
                <w:numId w:val="3"/>
              </w:numPr>
              <w:spacing w:after="0" w:line="240" w:lineRule="auto"/>
            </w:pPr>
            <w:r w:rsidRPr="00CC1DDE">
              <w:t>Výsledky hodnotenia sú za</w:t>
            </w:r>
            <w:r w:rsidR="00EF03BF" w:rsidRPr="00CC1DDE">
              <w:t>znamenané a dokumentované (napr. ako písomná skúška, projekt, prezentácia, správa a pod.)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3C6A5B" w:rsidP="00EF03BF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2.3 Pl</w:t>
            </w:r>
            <w:r w:rsidR="00EF03BF" w:rsidRPr="00CC1DDE">
              <w:rPr>
                <w:rFonts w:cs="Arial"/>
                <w:b/>
              </w:rPr>
              <w:t>ánovanie vzdelávacieho procesu</w:t>
            </w:r>
          </w:p>
        </w:tc>
        <w:tc>
          <w:tcPr>
            <w:tcW w:w="6662" w:type="dxa"/>
          </w:tcPr>
          <w:p w:rsidR="007D3B3C" w:rsidRPr="00CC1DDE" w:rsidRDefault="007D3B3C" w:rsidP="00A7692E">
            <w:pPr>
              <w:numPr>
                <w:ilvl w:val="0"/>
                <w:numId w:val="4"/>
              </w:numPr>
              <w:spacing w:after="0" w:line="240" w:lineRule="auto"/>
            </w:pPr>
            <w:r w:rsidRPr="00CC1DDE">
              <w:t>Postup vzdelávacieho procesu je plánovaný tak, aby sa umožnilo študentom dosiahn</w:t>
            </w:r>
            <w:r w:rsidR="002330DE" w:rsidRPr="00CC1DDE">
              <w:t>uť výstupy programu v stanovenom</w:t>
            </w:r>
            <w:r w:rsidRPr="00CC1DDE">
              <w:t xml:space="preserve"> čase</w:t>
            </w:r>
            <w:r w:rsidR="002330DE" w:rsidRPr="00CC1DDE">
              <w:t>.</w:t>
            </w:r>
          </w:p>
          <w:p w:rsidR="00A7692E" w:rsidRPr="00CC1DDE" w:rsidRDefault="007D3B3C" w:rsidP="007D3B3C">
            <w:pPr>
              <w:numPr>
                <w:ilvl w:val="0"/>
                <w:numId w:val="4"/>
              </w:numPr>
              <w:spacing w:after="0" w:line="240" w:lineRule="auto"/>
            </w:pPr>
            <w:r w:rsidRPr="00CC1DDE">
              <w:t>Existuje kalendár a rozvrh výukových aktivít a skúšok daného programu</w:t>
            </w:r>
            <w:r w:rsidR="002330DE" w:rsidRPr="00CC1DDE">
              <w:t>.</w:t>
            </w:r>
          </w:p>
        </w:tc>
      </w:tr>
      <w:tr w:rsidR="003C6A5B" w:rsidRPr="00690E8C" w:rsidTr="00B35760">
        <w:tc>
          <w:tcPr>
            <w:tcW w:w="2972" w:type="dxa"/>
          </w:tcPr>
          <w:p w:rsidR="003C6A5B" w:rsidRPr="00CC1DDE" w:rsidRDefault="003C6A5B" w:rsidP="007D3B3C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2.4 </w:t>
            </w:r>
            <w:r w:rsidR="007D3B3C" w:rsidRPr="00CC1DDE">
              <w:rPr>
                <w:rFonts w:cs="Arial"/>
                <w:b/>
              </w:rPr>
              <w:t>Riadenie vzdelávacieho procesu</w:t>
            </w:r>
          </w:p>
        </w:tc>
        <w:tc>
          <w:tcPr>
            <w:tcW w:w="6662" w:type="dxa"/>
          </w:tcPr>
          <w:p w:rsidR="007D3B3C" w:rsidRPr="00CC1DDE" w:rsidRDefault="007D3B3C" w:rsidP="007D3B3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Vzdelávací proces je riadený tak, aby sa zabezpečilo dosiahnutie cieľov a výstupov programu</w:t>
            </w:r>
            <w:r w:rsidR="002330DE" w:rsidRPr="00CC1DDE">
              <w:rPr>
                <w:rFonts w:cs="Arial"/>
              </w:rPr>
              <w:t>.</w:t>
            </w:r>
          </w:p>
          <w:p w:rsidR="007D3B3C" w:rsidRPr="00CC1DDE" w:rsidRDefault="002330DE" w:rsidP="007D3B3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Je opísaný spôsob ako s</w:t>
            </w:r>
            <w:r w:rsidR="007D3B3C" w:rsidRPr="00CC1DDE">
              <w:rPr>
                <w:rFonts w:cs="Arial"/>
              </w:rPr>
              <w:t>a riadi výukový a vzdelávací proces, hodnotenie študentov vrátane spätnej väzby ku kvalite vzdelávacieho procesu a k hodnoteniu študentov</w:t>
            </w:r>
            <w:r w:rsidRPr="00CC1DDE">
              <w:rPr>
                <w:rFonts w:cs="Arial"/>
              </w:rPr>
              <w:t>.</w:t>
            </w:r>
          </w:p>
          <w:p w:rsidR="00A7692E" w:rsidRPr="00CC1DDE" w:rsidRDefault="007D3B3C" w:rsidP="007D3B3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Riadenie programu má zahŕňať štatistickú analýzu a používanú dokumentáciu.</w:t>
            </w:r>
          </w:p>
        </w:tc>
      </w:tr>
      <w:tr w:rsidR="00CF7EFC" w:rsidRPr="00690E8C" w:rsidTr="00F86B63">
        <w:tc>
          <w:tcPr>
            <w:tcW w:w="9634" w:type="dxa"/>
            <w:gridSpan w:val="2"/>
          </w:tcPr>
          <w:p w:rsidR="005A2871" w:rsidRPr="00690E8C" w:rsidRDefault="005A2871" w:rsidP="007D3B3C">
            <w:pPr>
              <w:pStyle w:val="Nadpis1"/>
            </w:pPr>
            <w:r w:rsidRPr="00690E8C">
              <w:t xml:space="preserve">3. </w:t>
            </w:r>
            <w:r w:rsidR="007D3B3C" w:rsidRPr="00690E8C">
              <w:t>Zdroje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EC6D38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Kritériá</w:t>
            </w:r>
          </w:p>
        </w:tc>
        <w:tc>
          <w:tcPr>
            <w:tcW w:w="6662" w:type="dxa"/>
          </w:tcPr>
          <w:p w:rsidR="00B35760" w:rsidRPr="00CC1DDE" w:rsidRDefault="00EC6D38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Štandardy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EC6D38" w:rsidP="00B7643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3.1 Vyučujúci personál</w:t>
            </w:r>
          </w:p>
        </w:tc>
        <w:tc>
          <w:tcPr>
            <w:tcW w:w="6662" w:type="dxa"/>
          </w:tcPr>
          <w:p w:rsidR="00EC6D38" w:rsidRPr="00CC1DDE" w:rsidRDefault="00EC6D38" w:rsidP="00EC6D38">
            <w:pPr>
              <w:numPr>
                <w:ilvl w:val="0"/>
                <w:numId w:val="5"/>
              </w:numPr>
              <w:spacing w:after="0" w:line="240" w:lineRule="auto"/>
            </w:pPr>
            <w:r w:rsidRPr="00CC1DDE">
              <w:t xml:space="preserve">Vyučujúci a podporný vyučujúci personál je menovaný podľa vopred stanovených prijímacích kritérií a zásad (politiky). </w:t>
            </w:r>
          </w:p>
          <w:p w:rsidR="00EC6D38" w:rsidRPr="00CC1DDE" w:rsidRDefault="00D97F69" w:rsidP="00A7692E">
            <w:pPr>
              <w:numPr>
                <w:ilvl w:val="0"/>
                <w:numId w:val="5"/>
              </w:numPr>
              <w:spacing w:after="0" w:line="240" w:lineRule="auto"/>
            </w:pPr>
            <w:r w:rsidRPr="00CC1DDE">
              <w:t xml:space="preserve">Životopisy vyučujúceho personálu sú v súlade s kvalifikačnými požiadavkami na miesto </w:t>
            </w:r>
            <w:proofErr w:type="spellStart"/>
            <w:r w:rsidRPr="00CC1DDE">
              <w:t>účiteľa</w:t>
            </w:r>
            <w:proofErr w:type="spellEnd"/>
            <w:r w:rsidR="002330DE" w:rsidRPr="00CC1DDE">
              <w:t>.</w:t>
            </w:r>
          </w:p>
          <w:p w:rsidR="00EC6D38" w:rsidRPr="00CC1DDE" w:rsidRDefault="00D97F69" w:rsidP="00A7692E">
            <w:pPr>
              <w:numPr>
                <w:ilvl w:val="0"/>
                <w:numId w:val="5"/>
              </w:numPr>
              <w:spacing w:after="0" w:line="240" w:lineRule="auto"/>
            </w:pPr>
            <w:r w:rsidRPr="00CC1DDE">
              <w:t xml:space="preserve">Učitelia </w:t>
            </w:r>
            <w:r w:rsidR="00F21797" w:rsidRPr="00CC1DDE">
              <w:t>vedia preukázať svoju kompetentnosť výskumnou a publikačnou aktivitou, odbornou praxou, účasťou na konferenciách, účasťou na projektoch a pod.</w:t>
            </w:r>
          </w:p>
          <w:p w:rsidR="00EC6D38" w:rsidRPr="00CC1DDE" w:rsidRDefault="00F21797" w:rsidP="00A7692E">
            <w:pPr>
              <w:numPr>
                <w:ilvl w:val="0"/>
                <w:numId w:val="5"/>
              </w:numPr>
              <w:spacing w:after="0" w:line="240" w:lineRule="auto"/>
            </w:pPr>
            <w:r w:rsidRPr="00CC1DDE">
              <w:t>Vyučujúcemu personálu sa umožňuje využiť príležitosti na zlepšenie učiteľských zručností a</w:t>
            </w:r>
            <w:r w:rsidR="002330DE" w:rsidRPr="00CC1DDE">
              <w:t xml:space="preserve"> na využitie nových technológií.</w:t>
            </w:r>
          </w:p>
          <w:p w:rsidR="00A7692E" w:rsidRPr="00CC1DDE" w:rsidRDefault="00F21797" w:rsidP="00F21797">
            <w:pPr>
              <w:numPr>
                <w:ilvl w:val="0"/>
                <w:numId w:val="5"/>
              </w:numPr>
              <w:spacing w:after="0" w:line="240" w:lineRule="auto"/>
            </w:pPr>
            <w:r w:rsidRPr="00CC1DDE">
              <w:lastRenderedPageBreak/>
              <w:t>Vyučujúci a podporný vyučujúci personál zodpovedá v kvalite aj kvantite potrebnej na to, aby študenti dosiahli ciele programu</w:t>
            </w:r>
            <w:r w:rsidR="002330DE" w:rsidRPr="00CC1DDE">
              <w:t>.</w:t>
            </w:r>
            <w:r w:rsidR="00A7692E" w:rsidRPr="00CC1DDE">
              <w:t xml:space="preserve"> 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6F5BBF" w:rsidP="002C5681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lastRenderedPageBreak/>
              <w:t xml:space="preserve">3.2 </w:t>
            </w:r>
            <w:r w:rsidR="002C5681" w:rsidRPr="00CC1DDE">
              <w:rPr>
                <w:rFonts w:cs="Arial"/>
                <w:b/>
              </w:rPr>
              <w:t>Zariadenia a pomocný personál</w:t>
            </w:r>
          </w:p>
        </w:tc>
        <w:tc>
          <w:tcPr>
            <w:tcW w:w="6662" w:type="dxa"/>
          </w:tcPr>
          <w:p w:rsidR="00F21797" w:rsidRPr="00CC1DDE" w:rsidRDefault="00F21797" w:rsidP="00A7692E">
            <w:pPr>
              <w:numPr>
                <w:ilvl w:val="0"/>
                <w:numId w:val="6"/>
              </w:numPr>
              <w:spacing w:after="0" w:line="240" w:lineRule="auto"/>
            </w:pPr>
            <w:r w:rsidRPr="00CC1DDE">
              <w:t xml:space="preserve">Miestnosti, ktoré sú k dispozícii pre program, spolu s príslušným zariadením, zodpovedajú v kvalite aj kvantite potrebám realizácie plánovaných cieľov programu. Umožňujú uplatnenie stanovených didaktických metód. </w:t>
            </w:r>
          </w:p>
          <w:p w:rsidR="00F21797" w:rsidRPr="00CC1DDE" w:rsidRDefault="002C5681" w:rsidP="00A7692E">
            <w:pPr>
              <w:numPr>
                <w:ilvl w:val="0"/>
                <w:numId w:val="6"/>
              </w:numPr>
              <w:spacing w:after="0" w:line="240" w:lineRule="auto"/>
            </w:pPr>
            <w:r w:rsidRPr="00CC1DDE">
              <w:t>Pre študentov programu sú k dispozícii miestnosti s príslušným zariadením pre individuálne štúdium.</w:t>
            </w:r>
          </w:p>
          <w:p w:rsidR="00A7692E" w:rsidRPr="00CC1DDE" w:rsidRDefault="002C5681" w:rsidP="002C5681">
            <w:pPr>
              <w:numPr>
                <w:ilvl w:val="0"/>
                <w:numId w:val="6"/>
              </w:numPr>
              <w:spacing w:after="0" w:line="240" w:lineRule="auto"/>
            </w:pPr>
            <w:r w:rsidRPr="00CC1DDE">
              <w:t>V laboratóriách, dielňach a knižniciach je k dispozícii zodpovedajúce zariadenie a pomocný technický personál.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6F5BBF" w:rsidP="002C5681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3.3 Finan</w:t>
            </w:r>
            <w:r w:rsidR="002C5681" w:rsidRPr="00CC1DDE">
              <w:rPr>
                <w:rFonts w:cs="Arial"/>
                <w:b/>
              </w:rPr>
              <w:t>čné zdroje</w:t>
            </w:r>
          </w:p>
        </w:tc>
        <w:tc>
          <w:tcPr>
            <w:tcW w:w="6662" w:type="dxa"/>
          </w:tcPr>
          <w:p w:rsidR="002C5681" w:rsidRPr="00CC1DDE" w:rsidRDefault="002C5681" w:rsidP="002C5681">
            <w:pPr>
              <w:pStyle w:val="Odsekzoznamu"/>
              <w:numPr>
                <w:ilvl w:val="0"/>
                <w:numId w:val="7"/>
              </w:numPr>
              <w:spacing w:after="0" w:line="240" w:lineRule="auto"/>
            </w:pPr>
            <w:r w:rsidRPr="00CC1DDE">
              <w:t>Program má k dispozícii finančné zdroje, zodpovedajúce potrebám realizácie vzdelávacieho procesu v súlade s plánom</w:t>
            </w:r>
            <w:r w:rsidR="002330DE" w:rsidRPr="00CC1DDE">
              <w:t>.</w:t>
            </w:r>
          </w:p>
          <w:p w:rsidR="00A7692E" w:rsidRPr="00CC1DDE" w:rsidRDefault="002330DE" w:rsidP="002330DE">
            <w:pPr>
              <w:pStyle w:val="Odsekzoznamu"/>
              <w:numPr>
                <w:ilvl w:val="0"/>
                <w:numId w:val="7"/>
              </w:numPr>
              <w:spacing w:after="0" w:line="240" w:lineRule="auto"/>
            </w:pPr>
            <w:r w:rsidRPr="00CC1DDE">
              <w:t>Vysoká škola</w:t>
            </w:r>
            <w:r w:rsidR="002C5681" w:rsidRPr="00CC1DDE">
              <w:t xml:space="preserve"> poskytuje finančné krytie prevádzky programu</w:t>
            </w:r>
            <w:r w:rsidRPr="00CC1DDE">
              <w:t>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6F5BBF" w:rsidP="00795F02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3.4 </w:t>
            </w:r>
            <w:r w:rsidR="00795F02" w:rsidRPr="00CC1DDE">
              <w:rPr>
                <w:rFonts w:cs="Arial"/>
                <w:b/>
              </w:rPr>
              <w:t>Pomocné služby študentom</w:t>
            </w:r>
            <w:r w:rsidRPr="00CC1DDE">
              <w:rPr>
                <w:rFonts w:cs="Arial"/>
                <w:b/>
              </w:rPr>
              <w:t xml:space="preserve"> </w:t>
            </w:r>
          </w:p>
        </w:tc>
        <w:tc>
          <w:tcPr>
            <w:tcW w:w="6662" w:type="dxa"/>
          </w:tcPr>
          <w:p w:rsidR="002C5681" w:rsidRPr="00CC1DDE" w:rsidRDefault="002C5681" w:rsidP="00A7692E">
            <w:pPr>
              <w:numPr>
                <w:ilvl w:val="0"/>
                <w:numId w:val="7"/>
              </w:numPr>
              <w:spacing w:after="0" w:line="240" w:lineRule="auto"/>
            </w:pPr>
            <w:r w:rsidRPr="00CC1DDE">
              <w:t xml:space="preserve">Pre študentov sú k dispozícii  pomocné služby (kariérne poradenstvo, </w:t>
            </w:r>
            <w:proofErr w:type="spellStart"/>
            <w:r w:rsidRPr="00CC1DDE">
              <w:t>tutoring</w:t>
            </w:r>
            <w:proofErr w:type="spellEnd"/>
            <w:r w:rsidRPr="00CC1DDE">
              <w:t xml:space="preserve"> a konzultácie)</w:t>
            </w:r>
            <w:r w:rsidR="00C222E8" w:rsidRPr="00CC1DDE">
              <w:t xml:space="preserve"> a pomocný administratívny personál</w:t>
            </w:r>
            <w:r w:rsidR="002330DE" w:rsidRPr="00CC1DDE">
              <w:t>.</w:t>
            </w:r>
          </w:p>
          <w:p w:rsidR="002C5681" w:rsidRPr="00CC1DDE" w:rsidRDefault="00C222E8" w:rsidP="00A7692E">
            <w:pPr>
              <w:numPr>
                <w:ilvl w:val="0"/>
                <w:numId w:val="7"/>
              </w:numPr>
              <w:spacing w:after="0" w:line="240" w:lineRule="auto"/>
            </w:pPr>
            <w:r w:rsidRPr="00CC1DDE">
              <w:t>Pomocné s</w:t>
            </w:r>
            <w:r w:rsidR="002C5681" w:rsidRPr="00CC1DDE">
              <w:t>lužby pre študentov sú náležite organizované a riadené.</w:t>
            </w:r>
          </w:p>
          <w:p w:rsidR="00A7692E" w:rsidRPr="00CC1DDE" w:rsidRDefault="002C5681" w:rsidP="00795F02">
            <w:pPr>
              <w:numPr>
                <w:ilvl w:val="0"/>
                <w:numId w:val="7"/>
              </w:numPr>
              <w:spacing w:after="0" w:line="240" w:lineRule="auto"/>
            </w:pPr>
            <w:r w:rsidRPr="00CC1DDE">
              <w:t xml:space="preserve">Pomocný administratívny personál </w:t>
            </w:r>
            <w:r w:rsidR="00795F02" w:rsidRPr="00CC1DDE">
              <w:t>zodpovedá kvalitou aj kvantitou potrebám efektívneho riadenia pomocných služieb študentom</w:t>
            </w:r>
            <w:r w:rsidR="002330DE" w:rsidRPr="00CC1DDE">
              <w:t>.</w:t>
            </w:r>
          </w:p>
        </w:tc>
      </w:tr>
      <w:tr w:rsidR="006F5BBF" w:rsidRPr="00690E8C" w:rsidTr="00B35760">
        <w:tc>
          <w:tcPr>
            <w:tcW w:w="2972" w:type="dxa"/>
          </w:tcPr>
          <w:p w:rsidR="006F5BBF" w:rsidRPr="00CC1DDE" w:rsidRDefault="006F5BBF" w:rsidP="00795F02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3.5 Partners</w:t>
            </w:r>
            <w:r w:rsidR="00795F02" w:rsidRPr="00CC1DDE">
              <w:rPr>
                <w:rFonts w:cs="Arial"/>
                <w:b/>
              </w:rPr>
              <w:t>tvá</w:t>
            </w:r>
          </w:p>
        </w:tc>
        <w:tc>
          <w:tcPr>
            <w:tcW w:w="6662" w:type="dxa"/>
          </w:tcPr>
          <w:p w:rsidR="00795F02" w:rsidRPr="00CC1DDE" w:rsidRDefault="00795F02" w:rsidP="00795F0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Vysoká škola udržuje partnerstvá , ktoré umožňujú</w:t>
            </w:r>
          </w:p>
          <w:p w:rsidR="00795F02" w:rsidRPr="00CC1DDE" w:rsidRDefault="00795F02" w:rsidP="00795F02">
            <w:pPr>
              <w:pStyle w:val="Odsekzoznamu"/>
              <w:numPr>
                <w:ilvl w:val="1"/>
                <w:numId w:val="7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praktické vyučovanie mimo univerzity vo verejných alebo súkromných inštitúciách</w:t>
            </w:r>
          </w:p>
          <w:p w:rsidR="00795F02" w:rsidRPr="00CC1DDE" w:rsidRDefault="00795F02" w:rsidP="00795F02">
            <w:pPr>
              <w:pStyle w:val="Odsekzoznamu"/>
              <w:numPr>
                <w:ilvl w:val="1"/>
                <w:numId w:val="7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študijné pobyty na zahraničných univerzitách</w:t>
            </w:r>
          </w:p>
          <w:p w:rsidR="00795F02" w:rsidRPr="00CC1DDE" w:rsidRDefault="00795F02" w:rsidP="002330D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Partnerstvá s</w:t>
            </w:r>
            <w:r w:rsidR="002330DE" w:rsidRPr="00CC1DDE">
              <w:rPr>
                <w:rFonts w:cs="Arial"/>
              </w:rPr>
              <w:t>ú relevantné pre</w:t>
            </w:r>
            <w:r w:rsidRPr="00CC1DDE">
              <w:rPr>
                <w:rFonts w:cs="Arial"/>
              </w:rPr>
              <w:t xml:space="preserve"> obsah študijného programu a zodpovedajú kvalitou a kvantitou pre dosiahnutie výstupov programu</w:t>
            </w:r>
            <w:r w:rsidR="002330DE" w:rsidRPr="00CC1DDE">
              <w:rPr>
                <w:rFonts w:cs="Arial"/>
              </w:rPr>
              <w:t>.</w:t>
            </w:r>
            <w:r w:rsidRPr="00CC1DDE">
              <w:rPr>
                <w:rFonts w:cs="Arial"/>
              </w:rPr>
              <w:t xml:space="preserve"> </w:t>
            </w:r>
          </w:p>
        </w:tc>
      </w:tr>
      <w:tr w:rsidR="00CF7EFC" w:rsidRPr="00690E8C" w:rsidTr="00F81B36">
        <w:tc>
          <w:tcPr>
            <w:tcW w:w="9634" w:type="dxa"/>
            <w:gridSpan w:val="2"/>
          </w:tcPr>
          <w:p w:rsidR="00CF7EFC" w:rsidRPr="00690E8C" w:rsidRDefault="00CF7EFC" w:rsidP="002A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871" w:rsidRPr="00690E8C" w:rsidRDefault="005A2871" w:rsidP="00BD0B25">
            <w:pPr>
              <w:pStyle w:val="Nadpis1"/>
            </w:pPr>
            <w:r w:rsidRPr="00690E8C">
              <w:t xml:space="preserve">4. </w:t>
            </w:r>
            <w:r w:rsidR="00C222E8" w:rsidRPr="00690E8C">
              <w:t xml:space="preserve">Prijímanie, prestup, postup a </w:t>
            </w:r>
            <w:r w:rsidR="00BD0B25" w:rsidRPr="00690E8C">
              <w:t>vyradenie absolventov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5556DD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Kritériá</w:t>
            </w:r>
          </w:p>
        </w:tc>
        <w:tc>
          <w:tcPr>
            <w:tcW w:w="6662" w:type="dxa"/>
          </w:tcPr>
          <w:p w:rsidR="00B35760" w:rsidRPr="00CC1DDE" w:rsidRDefault="005556DD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Štandardy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6F5BBF" w:rsidP="00BD0B2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4.1  </w:t>
            </w:r>
            <w:r w:rsidR="00466938" w:rsidRPr="00CC1DDE">
              <w:rPr>
                <w:rFonts w:cs="Arial"/>
                <w:b/>
              </w:rPr>
              <w:t>Pravidlá upravujúce</w:t>
            </w:r>
            <w:r w:rsidR="00BD0B25" w:rsidRPr="00CC1DDE">
              <w:rPr>
                <w:rFonts w:cs="Arial"/>
                <w:b/>
              </w:rPr>
              <w:t xml:space="preserve"> akademickú kariéru študentov</w:t>
            </w:r>
          </w:p>
        </w:tc>
        <w:tc>
          <w:tcPr>
            <w:tcW w:w="6662" w:type="dxa"/>
          </w:tcPr>
          <w:p w:rsidR="00BD0B25" w:rsidRPr="00CC1DDE" w:rsidRDefault="00466938" w:rsidP="00A7692E">
            <w:pPr>
              <w:numPr>
                <w:ilvl w:val="0"/>
                <w:numId w:val="8"/>
              </w:numPr>
              <w:spacing w:after="0" w:line="240" w:lineRule="auto"/>
            </w:pPr>
            <w:r w:rsidRPr="00CC1DDE">
              <w:t>Pre prijímanie študentov na študijný program sú stanovené kvalifikačné požiadavky a metódy, ktorými sa preveruje, že ich študent spĺňa</w:t>
            </w:r>
            <w:r w:rsidR="002330DE" w:rsidRPr="00CC1DDE">
              <w:t>.</w:t>
            </w:r>
            <w:r w:rsidRPr="00CC1DDE">
              <w:t xml:space="preserve"> </w:t>
            </w:r>
          </w:p>
          <w:p w:rsidR="00BD0B25" w:rsidRPr="00CC1DDE" w:rsidRDefault="00466938" w:rsidP="00A7692E">
            <w:pPr>
              <w:numPr>
                <w:ilvl w:val="0"/>
                <w:numId w:val="8"/>
              </w:numPr>
              <w:spacing w:after="0" w:line="240" w:lineRule="auto"/>
            </w:pPr>
            <w:r w:rsidRPr="00CC1DDE">
              <w:t>Existujú predpisy určujúce uznávanie vysokoškolskej kvalifikácie a predchádzajúce</w:t>
            </w:r>
            <w:r w:rsidR="002330DE" w:rsidRPr="00CC1DDE">
              <w:t>ho</w:t>
            </w:r>
            <w:r w:rsidRPr="00CC1DDE">
              <w:t xml:space="preserve"> štúdia</w:t>
            </w:r>
            <w:r w:rsidR="002330DE" w:rsidRPr="00CC1DDE">
              <w:t>.</w:t>
            </w:r>
          </w:p>
          <w:p w:rsidR="00BD0B25" w:rsidRPr="00CC1DDE" w:rsidRDefault="00466938" w:rsidP="00A7692E">
            <w:pPr>
              <w:numPr>
                <w:ilvl w:val="0"/>
                <w:numId w:val="8"/>
              </w:numPr>
              <w:spacing w:after="0" w:line="240" w:lineRule="auto"/>
            </w:pPr>
            <w:r w:rsidRPr="00CC1DDE">
              <w:t>Stanovené a publikované sú kritériá pre postup študentov počas štúdia</w:t>
            </w:r>
            <w:r w:rsidR="002330DE" w:rsidRPr="00CC1DDE">
              <w:t>.</w:t>
            </w:r>
          </w:p>
          <w:p w:rsidR="00A7692E" w:rsidRPr="00CC1DDE" w:rsidRDefault="00466938" w:rsidP="00A7692E">
            <w:pPr>
              <w:numPr>
                <w:ilvl w:val="0"/>
                <w:numId w:val="8"/>
              </w:numPr>
              <w:spacing w:after="0" w:line="240" w:lineRule="auto"/>
            </w:pPr>
            <w:r w:rsidRPr="00CC1DDE">
              <w:t>Absolvovanie štúdia je osvedčené diplomom alebo certifikátom</w:t>
            </w:r>
            <w:r w:rsidR="002330DE" w:rsidRPr="00CC1DDE">
              <w:t>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6F5BBF" w:rsidP="00466938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4.2 </w:t>
            </w:r>
            <w:r w:rsidR="00466938" w:rsidRPr="00CC1DDE">
              <w:rPr>
                <w:rFonts w:cs="Arial"/>
                <w:b/>
              </w:rPr>
              <w:t>Prijímanie študentov</w:t>
            </w:r>
          </w:p>
        </w:tc>
        <w:tc>
          <w:tcPr>
            <w:tcW w:w="6662" w:type="dxa"/>
          </w:tcPr>
          <w:p w:rsidR="00466938" w:rsidRPr="00CC1DDE" w:rsidRDefault="002330DE" w:rsidP="00A7692E">
            <w:pPr>
              <w:numPr>
                <w:ilvl w:val="0"/>
                <w:numId w:val="9"/>
              </w:numPr>
              <w:spacing w:after="0" w:line="240" w:lineRule="auto"/>
            </w:pPr>
            <w:r w:rsidRPr="00CC1DDE">
              <w:t>Dokumentované sú v</w:t>
            </w:r>
            <w:r w:rsidR="00784235" w:rsidRPr="00CC1DDE">
              <w:t>ýsledky hodnotenia splnenia kvalifikačn</w:t>
            </w:r>
            <w:r w:rsidRPr="00CC1DDE">
              <w:t>ých požiadaviek</w:t>
            </w:r>
            <w:r w:rsidR="00784235" w:rsidRPr="00CC1DDE">
              <w:t>.</w:t>
            </w:r>
          </w:p>
          <w:p w:rsidR="00A7692E" w:rsidRPr="00CC1DDE" w:rsidRDefault="00784235" w:rsidP="00A7692E">
            <w:pPr>
              <w:numPr>
                <w:ilvl w:val="0"/>
                <w:numId w:val="9"/>
              </w:numPr>
              <w:spacing w:after="0" w:line="240" w:lineRule="auto"/>
            </w:pPr>
            <w:r w:rsidRPr="00CC1DDE">
              <w:t>Výsledky hodnotenia štúdia v prvom roku sú dokumentované a analyzované za účelom preukázania adekvátnosti prijímacích požiadaviek</w:t>
            </w:r>
            <w:r w:rsidR="002330DE" w:rsidRPr="00CC1DDE">
              <w:t>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6F5BBF" w:rsidP="0074753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lastRenderedPageBreak/>
              <w:t xml:space="preserve">4.3 </w:t>
            </w:r>
            <w:r w:rsidR="00747535" w:rsidRPr="00CC1DDE">
              <w:rPr>
                <w:rFonts w:cs="Arial"/>
                <w:b/>
              </w:rPr>
              <w:t>Hodnotenie študentov</w:t>
            </w:r>
          </w:p>
        </w:tc>
        <w:tc>
          <w:tcPr>
            <w:tcW w:w="6662" w:type="dxa"/>
          </w:tcPr>
          <w:p w:rsidR="00784235" w:rsidRPr="00CC1DDE" w:rsidRDefault="00784235" w:rsidP="007842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Výsledky hodnotenia študentov v každom ročníku a v každom module sú dokumentované a potvrdzujú, že kritériá pre postup študentov boli splnené</w:t>
            </w:r>
            <w:r w:rsidR="002330DE" w:rsidRPr="00CC1DDE">
              <w:rPr>
                <w:rFonts w:cs="Arial"/>
              </w:rPr>
              <w:t>.</w:t>
            </w:r>
          </w:p>
          <w:p w:rsidR="00A7692E" w:rsidRPr="00CC1DDE" w:rsidRDefault="00747535" w:rsidP="00A7692E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Výsledky monitorovania dosahovania študijných výstupov dokazujú, že vzdelávací proces v jednotlivých moduloch a častiach je účinný.</w:t>
            </w:r>
          </w:p>
        </w:tc>
      </w:tr>
      <w:tr w:rsidR="006F5BBF" w:rsidRPr="00690E8C" w:rsidTr="00B35760">
        <w:tc>
          <w:tcPr>
            <w:tcW w:w="2972" w:type="dxa"/>
          </w:tcPr>
          <w:p w:rsidR="006F5BBF" w:rsidRPr="00CC1DDE" w:rsidRDefault="006F5BBF" w:rsidP="0074753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4.4</w:t>
            </w:r>
            <w:r w:rsidR="00747535" w:rsidRPr="00CC1DDE">
              <w:rPr>
                <w:rFonts w:cs="Arial"/>
                <w:b/>
              </w:rPr>
              <w:t>. Postup v štúdiu</w:t>
            </w:r>
            <w:r w:rsidRPr="00CC1DDE">
              <w:rPr>
                <w:rFonts w:cs="Arial"/>
                <w:b/>
              </w:rPr>
              <w:t xml:space="preserve"> </w:t>
            </w:r>
          </w:p>
        </w:tc>
        <w:tc>
          <w:tcPr>
            <w:tcW w:w="6662" w:type="dxa"/>
          </w:tcPr>
          <w:p w:rsidR="00747535" w:rsidRPr="00CC1DDE" w:rsidRDefault="00747535" w:rsidP="007475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Výsledky monitorovania postupu študentov v jednotlivých ročníkoch sú dokumentované.</w:t>
            </w:r>
          </w:p>
          <w:p w:rsidR="00747535" w:rsidRPr="00CC1DDE" w:rsidRDefault="00747535" w:rsidP="007475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Dokumentované sú výsledky monitorovania študentov vyradených pre neprospech.</w:t>
            </w:r>
          </w:p>
          <w:p w:rsidR="00747535" w:rsidRPr="00CC1DDE" w:rsidRDefault="00747535" w:rsidP="007475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Dokumentované sú v</w:t>
            </w:r>
            <w:r w:rsidR="004E1C4E" w:rsidRPr="00CC1DDE">
              <w:rPr>
                <w:rFonts w:cs="Arial"/>
              </w:rPr>
              <w:t xml:space="preserve">ýsledky monitorovania </w:t>
            </w:r>
            <w:r w:rsidRPr="00CC1DDE">
              <w:rPr>
                <w:rFonts w:cs="Arial"/>
              </w:rPr>
              <w:t xml:space="preserve">kreditov </w:t>
            </w:r>
            <w:r w:rsidR="004E1C4E" w:rsidRPr="00CC1DDE">
              <w:rPr>
                <w:rFonts w:cs="Arial"/>
              </w:rPr>
              <w:t xml:space="preserve">získaných </w:t>
            </w:r>
            <w:r w:rsidRPr="00CC1DDE">
              <w:rPr>
                <w:rFonts w:cs="Arial"/>
              </w:rPr>
              <w:t>študentmi pri prechode do vyššieho ročníka.</w:t>
            </w:r>
          </w:p>
          <w:p w:rsidR="00A7692E" w:rsidRPr="00CC1DDE" w:rsidRDefault="00747535" w:rsidP="00D55683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Dokumentované sú výsledky monitorovania dĺžky štúdia absolventov.</w:t>
            </w:r>
          </w:p>
        </w:tc>
      </w:tr>
      <w:tr w:rsidR="00CF7EFC" w:rsidRPr="00690E8C" w:rsidTr="00F713ED">
        <w:tc>
          <w:tcPr>
            <w:tcW w:w="9634" w:type="dxa"/>
            <w:gridSpan w:val="2"/>
          </w:tcPr>
          <w:p w:rsidR="00CF7EFC" w:rsidRPr="00690E8C" w:rsidRDefault="00CF7EFC" w:rsidP="002A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871" w:rsidRPr="00690E8C" w:rsidRDefault="005A2871" w:rsidP="00D55683">
            <w:pPr>
              <w:pStyle w:val="Nadpis1"/>
            </w:pPr>
            <w:r w:rsidRPr="00690E8C">
              <w:t xml:space="preserve">5. </w:t>
            </w:r>
            <w:r w:rsidR="00D55683" w:rsidRPr="00690E8C">
              <w:t>Vnútorný systém zabezpečenia kvality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D55683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Kritériá</w:t>
            </w:r>
          </w:p>
        </w:tc>
        <w:tc>
          <w:tcPr>
            <w:tcW w:w="6662" w:type="dxa"/>
          </w:tcPr>
          <w:p w:rsidR="00B35760" w:rsidRPr="00CC1DDE" w:rsidRDefault="00D55683" w:rsidP="002A2826">
            <w:pPr>
              <w:jc w:val="center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Štandardy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985814" w:rsidP="00D55683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5.1 </w:t>
            </w:r>
            <w:r w:rsidR="00D55683" w:rsidRPr="00CC1DDE">
              <w:rPr>
                <w:rFonts w:cs="Arial"/>
                <w:b/>
              </w:rPr>
              <w:t>Politika a procesy zabezpečenia kvality programov</w:t>
            </w:r>
          </w:p>
        </w:tc>
        <w:tc>
          <w:tcPr>
            <w:tcW w:w="6662" w:type="dxa"/>
          </w:tcPr>
          <w:p w:rsidR="00D55683" w:rsidRPr="00CC1DDE" w:rsidRDefault="00D55683" w:rsidP="00A7692E">
            <w:pPr>
              <w:numPr>
                <w:ilvl w:val="0"/>
                <w:numId w:val="10"/>
              </w:numPr>
              <w:spacing w:after="0" w:line="240" w:lineRule="auto"/>
            </w:pPr>
            <w:r w:rsidRPr="00CC1DDE">
              <w:t>Dokumentovaná je politika vysokej školy pre zabezpečenie kvality programov</w:t>
            </w:r>
            <w:r w:rsidR="004E1C4E" w:rsidRPr="00CC1DDE">
              <w:t>.</w:t>
            </w:r>
          </w:p>
          <w:p w:rsidR="00D55683" w:rsidRPr="00CC1DDE" w:rsidRDefault="00D55683" w:rsidP="00A7692E">
            <w:pPr>
              <w:numPr>
                <w:ilvl w:val="0"/>
                <w:numId w:val="10"/>
              </w:numPr>
              <w:spacing w:after="0" w:line="240" w:lineRule="auto"/>
            </w:pPr>
            <w:r w:rsidRPr="00CC1DDE">
              <w:t>Politika zabezpečenia kvality programov je implementovaná.</w:t>
            </w:r>
          </w:p>
          <w:p w:rsidR="00A7692E" w:rsidRPr="00CC1DDE" w:rsidRDefault="00D55683" w:rsidP="00A7692E">
            <w:pPr>
              <w:numPr>
                <w:ilvl w:val="0"/>
                <w:numId w:val="10"/>
              </w:numPr>
              <w:spacing w:after="0" w:line="240" w:lineRule="auto"/>
            </w:pPr>
            <w:r w:rsidRPr="00CC1DDE">
              <w:t>Organizačná štruktúra a rozhodovacie proces</w:t>
            </w:r>
            <w:r w:rsidR="004E1C4E" w:rsidRPr="00CC1DDE">
              <w:t>y zabezpečenia kvality programo</w:t>
            </w:r>
            <w:r w:rsidRPr="00CC1DDE">
              <w:t>v vysokej školy sú stanovené a implementované</w:t>
            </w:r>
            <w:r w:rsidR="004E1C4E" w:rsidRPr="00CC1DDE">
              <w:t>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985814" w:rsidP="00D55683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5.2 </w:t>
            </w:r>
            <w:r w:rsidR="00D55683" w:rsidRPr="00CC1DDE">
              <w:rPr>
                <w:rFonts w:cs="Arial"/>
                <w:b/>
              </w:rPr>
              <w:t>Systém riadenia programu</w:t>
            </w:r>
          </w:p>
        </w:tc>
        <w:tc>
          <w:tcPr>
            <w:tcW w:w="6662" w:type="dxa"/>
          </w:tcPr>
          <w:p w:rsidR="00D55683" w:rsidRPr="00CC1DDE" w:rsidRDefault="00D55683" w:rsidP="00A7692E">
            <w:pPr>
              <w:numPr>
                <w:ilvl w:val="0"/>
                <w:numId w:val="10"/>
              </w:numPr>
              <w:spacing w:after="0" w:line="240" w:lineRule="auto"/>
            </w:pPr>
            <w:r w:rsidRPr="00CC1DDE">
              <w:t>Existujú dokumentované zásady (politiky) a postupy zabezpečenia kvality týkajúce sa študijného programu.</w:t>
            </w:r>
          </w:p>
          <w:p w:rsidR="00A7692E" w:rsidRPr="00CC1DDE" w:rsidRDefault="00D55683" w:rsidP="00D55683">
            <w:pPr>
              <w:numPr>
                <w:ilvl w:val="0"/>
                <w:numId w:val="10"/>
              </w:numPr>
              <w:spacing w:after="0" w:line="240" w:lineRule="auto"/>
            </w:pPr>
            <w:r w:rsidRPr="00CC1DDE">
              <w:t>Program je dostatočne integrovaný do procesov zabezpečenia kvality na vysokej škole a implementuje ich relevantné prvky.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985814" w:rsidP="00D55683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5.3 </w:t>
            </w:r>
            <w:r w:rsidR="00D55683" w:rsidRPr="00CC1DDE">
              <w:rPr>
                <w:rFonts w:cs="Arial"/>
                <w:b/>
              </w:rPr>
              <w:t>Preskúmanie programu a zlepšovanie</w:t>
            </w:r>
          </w:p>
        </w:tc>
        <w:tc>
          <w:tcPr>
            <w:tcW w:w="6662" w:type="dxa"/>
          </w:tcPr>
          <w:p w:rsidR="00D55683" w:rsidRPr="00CC1DDE" w:rsidRDefault="00D55683" w:rsidP="00D55683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Existujú dokumentované zásady (politiky) a postupy pre preskúmanie a zlepšovanie programu.</w:t>
            </w:r>
          </w:p>
          <w:p w:rsidR="00D55683" w:rsidRPr="00CC1DDE" w:rsidRDefault="00D55683" w:rsidP="00D55683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Prog</w:t>
            </w:r>
            <w:r w:rsidR="004E1C4E" w:rsidRPr="00CC1DDE">
              <w:rPr>
                <w:rFonts w:cs="Arial"/>
              </w:rPr>
              <w:t>ram je periodicky preverovaný</w:t>
            </w:r>
            <w:r w:rsidRPr="00CC1DDE">
              <w:rPr>
                <w:rFonts w:cs="Arial"/>
              </w:rPr>
              <w:t xml:space="preserve"> pokiaľ ide o potreby a ciele, vzdelávací proces, zdroje, výsledky a systém riadenia - s cieľom garantovať </w:t>
            </w:r>
            <w:r w:rsidR="008F6790" w:rsidRPr="00CC1DDE">
              <w:rPr>
                <w:rFonts w:cs="Arial"/>
              </w:rPr>
              <w:t>neustálu opodstatnenosť a účinnosť</w:t>
            </w:r>
            <w:r w:rsidR="004E1C4E" w:rsidRPr="00CC1DDE">
              <w:rPr>
                <w:rFonts w:cs="Arial"/>
              </w:rPr>
              <w:t>.</w:t>
            </w:r>
          </w:p>
          <w:p w:rsidR="008F6790" w:rsidRPr="00CC1DDE" w:rsidRDefault="004E1C4E" w:rsidP="00D55683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Výsledky preverovania</w:t>
            </w:r>
            <w:r w:rsidR="008F6790" w:rsidRPr="00CC1DDE">
              <w:rPr>
                <w:rFonts w:cs="Arial"/>
              </w:rPr>
              <w:t xml:space="preserve"> programu sú dokumentované.</w:t>
            </w:r>
          </w:p>
          <w:p w:rsidR="00D55683" w:rsidRPr="00CC1DDE" w:rsidRDefault="004E1C4E" w:rsidP="00D55683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Preverovania</w:t>
            </w:r>
            <w:r w:rsidR="008F6790" w:rsidRPr="00CC1DDE">
              <w:rPr>
                <w:rFonts w:cs="Arial"/>
              </w:rPr>
              <w:t xml:space="preserve"> programu podporujú zlepšovanie účinnosti proces</w:t>
            </w:r>
            <w:r w:rsidRPr="00CC1DDE">
              <w:rPr>
                <w:rFonts w:cs="Arial"/>
              </w:rPr>
              <w:t>ov</w:t>
            </w:r>
            <w:r w:rsidR="008F6790" w:rsidRPr="00CC1DDE">
              <w:rPr>
                <w:rFonts w:cs="Arial"/>
              </w:rPr>
              <w:t xml:space="preserve"> riadenia programu a príslušných výsledkov</w:t>
            </w:r>
            <w:r w:rsidRPr="00CC1DDE">
              <w:rPr>
                <w:rFonts w:cs="Arial"/>
              </w:rPr>
              <w:t>.</w:t>
            </w:r>
          </w:p>
        </w:tc>
      </w:tr>
      <w:tr w:rsidR="00B35760" w:rsidRPr="00690E8C" w:rsidTr="00B35760">
        <w:tc>
          <w:tcPr>
            <w:tcW w:w="2972" w:type="dxa"/>
          </w:tcPr>
          <w:p w:rsidR="00B35760" w:rsidRPr="00CC1DDE" w:rsidRDefault="00985814" w:rsidP="008F6790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5.4 </w:t>
            </w:r>
            <w:r w:rsidR="008F6790" w:rsidRPr="00CC1DDE">
              <w:rPr>
                <w:rFonts w:cs="Arial"/>
                <w:b/>
              </w:rPr>
              <w:t>Spätná väzba študentov na vzdelávací proces</w:t>
            </w:r>
          </w:p>
        </w:tc>
        <w:tc>
          <w:tcPr>
            <w:tcW w:w="6662" w:type="dxa"/>
          </w:tcPr>
          <w:p w:rsidR="008F6790" w:rsidRPr="00CC1DDE" w:rsidRDefault="008F6790" w:rsidP="008F6790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Sledujú sa názory študentov na</w:t>
            </w:r>
          </w:p>
          <w:p w:rsidR="008F6790" w:rsidRPr="00CC1DDE" w:rsidRDefault="008F6790" w:rsidP="008F6790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kvalitu modulov a častí programu</w:t>
            </w:r>
          </w:p>
          <w:p w:rsidR="008F6790" w:rsidRPr="00CC1DDE" w:rsidRDefault="008F6790" w:rsidP="008F6790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praktické vyučovanie mimo univerzity</w:t>
            </w:r>
          </w:p>
          <w:p w:rsidR="008F6790" w:rsidRPr="00CC1DDE" w:rsidRDefault="008F6790" w:rsidP="008F6790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medzinárodné študijné pobyty</w:t>
            </w:r>
            <w:r w:rsidR="004E1C4E" w:rsidRPr="00CC1DDE">
              <w:rPr>
                <w:rFonts w:cs="Arial"/>
              </w:rPr>
              <w:t>.</w:t>
            </w:r>
          </w:p>
          <w:p w:rsidR="008F6790" w:rsidRPr="00CC1DDE" w:rsidRDefault="008F6790" w:rsidP="008F6790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Sledujú sa názory študentov v poslednom ročníku na vzdelávací proces a pomocné služby pre študentov.</w:t>
            </w:r>
          </w:p>
          <w:p w:rsidR="008F6790" w:rsidRPr="00CC1DDE" w:rsidRDefault="008F6790" w:rsidP="008F6790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Monitorovanie názorov študentov je adekvátne pokiaľ ide o úplnosť informácií a mieru odozvy</w:t>
            </w:r>
            <w:r w:rsidR="004E1C4E" w:rsidRPr="00CC1DDE">
              <w:rPr>
                <w:rFonts w:cs="Arial"/>
              </w:rPr>
              <w:t>.</w:t>
            </w:r>
          </w:p>
          <w:p w:rsidR="008F6790" w:rsidRPr="00CC1DDE" w:rsidRDefault="008F6790" w:rsidP="008F6790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 xml:space="preserve">Výsledky monitorovania názorov študentov na vzdelávací proces dokazujú, že </w:t>
            </w:r>
            <w:r w:rsidR="00AC06DF" w:rsidRPr="00CC1DDE">
              <w:rPr>
                <w:rFonts w:cs="Arial"/>
              </w:rPr>
              <w:t>vzdelávací proces a pomocné služby študentom sú adekvátne a účinné.</w:t>
            </w:r>
          </w:p>
        </w:tc>
      </w:tr>
      <w:tr w:rsidR="00985814" w:rsidRPr="00690E8C" w:rsidTr="00B35760">
        <w:tc>
          <w:tcPr>
            <w:tcW w:w="2972" w:type="dxa"/>
          </w:tcPr>
          <w:p w:rsidR="00985814" w:rsidRPr="00CC1DDE" w:rsidRDefault="00985814" w:rsidP="00863A51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lastRenderedPageBreak/>
              <w:t xml:space="preserve">5.5 </w:t>
            </w:r>
            <w:r w:rsidR="00863A51" w:rsidRPr="00CC1DDE">
              <w:rPr>
                <w:rFonts w:cs="Arial"/>
                <w:b/>
              </w:rPr>
              <w:t>Umiestnenie absolventov v praxi</w:t>
            </w:r>
          </w:p>
        </w:tc>
        <w:tc>
          <w:tcPr>
            <w:tcW w:w="6662" w:type="dxa"/>
          </w:tcPr>
          <w:p w:rsidR="00AC06DF" w:rsidRPr="00CC1DDE" w:rsidRDefault="00AC06DF" w:rsidP="00AC06DF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Zhromažďujú sa výsledky monitorovania</w:t>
            </w:r>
          </w:p>
          <w:p w:rsidR="00AC06DF" w:rsidRPr="00CC1DDE" w:rsidRDefault="00AC06DF" w:rsidP="00AC06DF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získaného zamestnania absolventov</w:t>
            </w:r>
          </w:p>
          <w:p w:rsidR="00AC06DF" w:rsidRPr="00CC1DDE" w:rsidRDefault="00AC06DF" w:rsidP="00AC06DF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postup</w:t>
            </w:r>
            <w:r w:rsidR="004E1C4E" w:rsidRPr="00CC1DDE">
              <w:rPr>
                <w:rFonts w:cs="Arial"/>
              </w:rPr>
              <w:t>u</w:t>
            </w:r>
            <w:r w:rsidRPr="00CC1DDE">
              <w:rPr>
                <w:rFonts w:cs="Arial"/>
              </w:rPr>
              <w:t xml:space="preserve"> absolventov na inžiniersky stupeň (platí pre bakalárske programy) </w:t>
            </w:r>
          </w:p>
          <w:p w:rsidR="00AC06DF" w:rsidRPr="00CC1DDE" w:rsidRDefault="00AC06DF" w:rsidP="00AC06DF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postup</w:t>
            </w:r>
            <w:r w:rsidR="004E1C4E" w:rsidRPr="00CC1DDE">
              <w:rPr>
                <w:rFonts w:cs="Arial"/>
              </w:rPr>
              <w:t>u</w:t>
            </w:r>
            <w:r w:rsidRPr="00CC1DDE">
              <w:rPr>
                <w:rFonts w:cs="Arial"/>
              </w:rPr>
              <w:t xml:space="preserve"> absolventov na doktorandské štúdium (platí pre inžinierske programy)</w:t>
            </w:r>
          </w:p>
          <w:p w:rsidR="00AC06DF" w:rsidRPr="00CC1DDE" w:rsidRDefault="004E1C4E" w:rsidP="00AC06DF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názorov zamest</w:t>
            </w:r>
            <w:r w:rsidR="00AC06DF" w:rsidRPr="00CC1DDE">
              <w:rPr>
                <w:rFonts w:cs="Arial"/>
              </w:rPr>
              <w:t>naných absolventov na získané vzdelanie</w:t>
            </w:r>
          </w:p>
          <w:p w:rsidR="00AC06DF" w:rsidRPr="00CC1DDE" w:rsidRDefault="00AC06DF" w:rsidP="00AC06DF">
            <w:pPr>
              <w:pStyle w:val="Odsekzoznamu"/>
              <w:numPr>
                <w:ilvl w:val="1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názorov zamestnávateľov na vzdelanie absolventov</w:t>
            </w:r>
            <w:r w:rsidR="004E1C4E" w:rsidRPr="00CC1DDE">
              <w:rPr>
                <w:rFonts w:cs="Arial"/>
              </w:rPr>
              <w:t>.</w:t>
            </w:r>
          </w:p>
          <w:p w:rsidR="00AC06DF" w:rsidRPr="00CC1DDE" w:rsidRDefault="00AC06DF" w:rsidP="00AC06DF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 xml:space="preserve">Výsledky monitorovania zamestnania absolventov a názorov absolventov a zamestnávateľov na kvalitu vzdelania dokazujú, že absolventi získali hodnotné vzdelanie a že ciele a výstupy programu zodpovedajú potrebám trhu práce. </w:t>
            </w:r>
          </w:p>
        </w:tc>
      </w:tr>
      <w:tr w:rsidR="00985814" w:rsidRPr="00690E8C" w:rsidTr="00B35760">
        <w:tc>
          <w:tcPr>
            <w:tcW w:w="2972" w:type="dxa"/>
          </w:tcPr>
          <w:p w:rsidR="00985814" w:rsidRPr="00CC1DDE" w:rsidRDefault="00985814" w:rsidP="00863A51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5.6 </w:t>
            </w:r>
            <w:r w:rsidR="00863A51" w:rsidRPr="00CC1DDE">
              <w:rPr>
                <w:rFonts w:cs="Arial"/>
                <w:b/>
              </w:rPr>
              <w:t>Verejná dostupnosť informácií</w:t>
            </w:r>
          </w:p>
        </w:tc>
        <w:tc>
          <w:tcPr>
            <w:tcW w:w="6662" w:type="dxa"/>
          </w:tcPr>
          <w:p w:rsidR="00AC06DF" w:rsidRPr="00CC1DDE" w:rsidRDefault="00863A51" w:rsidP="00AC06DF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Dokumentácia týkajúca sa zabezpečenia kvality programu je verejne dostupná.</w:t>
            </w:r>
          </w:p>
          <w:p w:rsidR="00AC06DF" w:rsidRPr="00CC1DDE" w:rsidRDefault="00863A51" w:rsidP="00AC06DF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C1DDE">
              <w:rPr>
                <w:rFonts w:cs="Arial"/>
              </w:rPr>
              <w:t>Verejne dostupná dokumentácia poskytuje úplné, aktuálne a ľahko dostupné informácie (kvantitatívne aj kvalitatívne) o cieľoch programu, vzdelávacom procese, zdrojoch, výsledkoch a systéme riadenia.</w:t>
            </w:r>
          </w:p>
        </w:tc>
      </w:tr>
    </w:tbl>
    <w:p w:rsidR="008B3D21" w:rsidRPr="00690E8C" w:rsidRDefault="008B3D21" w:rsidP="008B3D21">
      <w:pPr>
        <w:rPr>
          <w:rFonts w:ascii="Arial" w:hAnsi="Arial" w:cs="Arial"/>
          <w:sz w:val="18"/>
          <w:szCs w:val="18"/>
        </w:rPr>
      </w:pPr>
    </w:p>
    <w:p w:rsidR="00CD6883" w:rsidRPr="00CC1DDE" w:rsidRDefault="00C10FB9" w:rsidP="00251033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4" w:name="_Toc430545897"/>
      <w:bookmarkStart w:id="5" w:name="_Toc430546001"/>
      <w:bookmarkStart w:id="6" w:name="_Toc430546085"/>
      <w:r w:rsidRPr="00CC1DDE">
        <w:rPr>
          <w:rFonts w:ascii="Arial" w:hAnsi="Arial" w:cs="Arial"/>
          <w:color w:val="auto"/>
          <w:sz w:val="24"/>
          <w:szCs w:val="24"/>
        </w:rPr>
        <w:t xml:space="preserve">Kritériá a štandardy akreditácie - </w:t>
      </w:r>
      <w:proofErr w:type="spellStart"/>
      <w:r w:rsidR="00CF7EFC" w:rsidRPr="00CC1DDE">
        <w:rPr>
          <w:rFonts w:ascii="Arial" w:hAnsi="Arial" w:cs="Arial"/>
          <w:color w:val="auto"/>
          <w:sz w:val="24"/>
          <w:szCs w:val="24"/>
        </w:rPr>
        <w:t>Accreditation</w:t>
      </w:r>
      <w:proofErr w:type="spellEnd"/>
      <w:r w:rsidR="00CF7EFC" w:rsidRPr="00CC1DD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F7EFC" w:rsidRPr="00CC1DDE">
        <w:rPr>
          <w:rFonts w:ascii="Arial" w:hAnsi="Arial" w:cs="Arial"/>
          <w:color w:val="auto"/>
          <w:sz w:val="24"/>
          <w:szCs w:val="24"/>
        </w:rPr>
        <w:t>criteria</w:t>
      </w:r>
      <w:proofErr w:type="spellEnd"/>
      <w:r w:rsidR="00CF7EFC" w:rsidRPr="00CC1DDE">
        <w:rPr>
          <w:rFonts w:ascii="Arial" w:hAnsi="Arial" w:cs="Arial"/>
          <w:color w:val="auto"/>
          <w:sz w:val="24"/>
          <w:szCs w:val="24"/>
        </w:rPr>
        <w:t xml:space="preserve"> and </w:t>
      </w:r>
      <w:proofErr w:type="spellStart"/>
      <w:r w:rsidR="00CF7EFC" w:rsidRPr="00CC1DDE">
        <w:rPr>
          <w:rFonts w:ascii="Arial" w:hAnsi="Arial" w:cs="Arial"/>
          <w:color w:val="auto"/>
          <w:sz w:val="24"/>
          <w:szCs w:val="24"/>
        </w:rPr>
        <w:t>standards</w:t>
      </w:r>
      <w:proofErr w:type="spellEnd"/>
      <w:r w:rsidR="00CF7EFC" w:rsidRPr="00CC1DDE">
        <w:rPr>
          <w:rFonts w:ascii="Arial" w:hAnsi="Arial" w:cs="Arial"/>
          <w:color w:val="auto"/>
          <w:sz w:val="24"/>
          <w:szCs w:val="24"/>
        </w:rPr>
        <w:t xml:space="preserve"> </w:t>
      </w:r>
      <w:r w:rsidR="00251033" w:rsidRPr="00CC1DDE">
        <w:rPr>
          <w:rFonts w:ascii="Arial" w:hAnsi="Arial" w:cs="Arial"/>
          <w:color w:val="auto"/>
          <w:sz w:val="24"/>
          <w:szCs w:val="24"/>
        </w:rPr>
        <w:t xml:space="preserve">- </w:t>
      </w:r>
      <w:r w:rsidRPr="00CC1DDE">
        <w:rPr>
          <w:rFonts w:ascii="Arial" w:hAnsi="Arial" w:cs="Arial"/>
          <w:color w:val="auto"/>
          <w:sz w:val="24"/>
          <w:szCs w:val="24"/>
        </w:rPr>
        <w:t>Výstupy študijných programov</w:t>
      </w:r>
      <w:bookmarkEnd w:id="4"/>
      <w:bookmarkEnd w:id="5"/>
      <w:bookmarkEnd w:id="6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B35760" w:rsidRPr="00690E8C" w:rsidTr="00B35760">
        <w:tc>
          <w:tcPr>
            <w:tcW w:w="2972" w:type="dxa"/>
          </w:tcPr>
          <w:p w:rsidR="00B35760" w:rsidRPr="00690E8C" w:rsidRDefault="00C10FB9" w:rsidP="002A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0E8C">
              <w:rPr>
                <w:rFonts w:ascii="Arial" w:hAnsi="Arial" w:cs="Arial"/>
                <w:b/>
                <w:sz w:val="18"/>
                <w:szCs w:val="18"/>
              </w:rPr>
              <w:t>Výstup</w:t>
            </w:r>
          </w:p>
        </w:tc>
        <w:tc>
          <w:tcPr>
            <w:tcW w:w="6662" w:type="dxa"/>
          </w:tcPr>
          <w:p w:rsidR="00B35760" w:rsidRPr="00690E8C" w:rsidRDefault="00C10FB9" w:rsidP="002A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0E8C">
              <w:rPr>
                <w:rFonts w:ascii="Arial" w:hAnsi="Arial" w:cs="Arial"/>
                <w:b/>
                <w:sz w:val="18"/>
                <w:szCs w:val="18"/>
              </w:rPr>
              <w:t>Štandard</w:t>
            </w:r>
          </w:p>
        </w:tc>
      </w:tr>
      <w:tr w:rsidR="00B35760" w:rsidRPr="00690E8C" w:rsidTr="00B35760">
        <w:tc>
          <w:tcPr>
            <w:tcW w:w="2972" w:type="dxa"/>
            <w:vMerge w:val="restart"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1. </w:t>
            </w:r>
            <w:r w:rsidR="00C10FB9" w:rsidRPr="00CC1DDE">
              <w:rPr>
                <w:rFonts w:cs="Arial"/>
                <w:b/>
              </w:rPr>
              <w:t>Poznanie a chápanie princípov</w:t>
            </w:r>
          </w:p>
          <w:p w:rsidR="00B35760" w:rsidRPr="00CC1DDE" w:rsidRDefault="00B35760" w:rsidP="00A75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62" w:type="dxa"/>
          </w:tcPr>
          <w:p w:rsidR="00B35760" w:rsidRPr="003A6DB3" w:rsidRDefault="00F714AB" w:rsidP="00CC1DDE">
            <w:pPr>
              <w:pStyle w:val="Bezriadkovania"/>
            </w:pPr>
            <w:r w:rsidRPr="003A6DB3">
              <w:t>Absolventi 1. cyklu by mali</w:t>
            </w:r>
          </w:p>
          <w:p w:rsidR="00A7692E" w:rsidRPr="003A6DB3" w:rsidRDefault="004E1C4E" w:rsidP="00A7692E">
            <w:pPr>
              <w:numPr>
                <w:ilvl w:val="0"/>
                <w:numId w:val="1"/>
              </w:numPr>
              <w:spacing w:after="0" w:line="240" w:lineRule="auto"/>
            </w:pPr>
            <w:r w:rsidRPr="003A6DB3">
              <w:t>poznať a rozumieť vedeckým a matematickým princípom</w:t>
            </w:r>
            <w:r w:rsidR="00A7692E" w:rsidRPr="003A6DB3">
              <w:t xml:space="preserve"> používan</w:t>
            </w:r>
            <w:r w:rsidRPr="003A6DB3">
              <w:t>ým</w:t>
            </w:r>
            <w:r w:rsidR="00A7692E" w:rsidRPr="003A6DB3">
              <w:t xml:space="preserve"> v danom inžinierskom odvetví</w:t>
            </w:r>
            <w:r w:rsidR="00F714AB" w:rsidRPr="003A6DB3">
              <w:t xml:space="preserve"> na príslušnej úrovni</w:t>
            </w:r>
          </w:p>
          <w:p w:rsidR="00F714AB" w:rsidRPr="003A6DB3" w:rsidRDefault="004E1C4E" w:rsidP="00F714AB">
            <w:pPr>
              <w:numPr>
                <w:ilvl w:val="0"/>
                <w:numId w:val="1"/>
              </w:numPr>
              <w:spacing w:after="0" w:line="240" w:lineRule="auto"/>
            </w:pPr>
            <w:r w:rsidRPr="003A6DB3">
              <w:t>poznať a rozumieť inžinierskym</w:t>
            </w:r>
            <w:r w:rsidR="00F714AB" w:rsidRPr="003A6DB3">
              <w:t xml:space="preserve"> disciplín</w:t>
            </w:r>
            <w:r w:rsidRPr="003A6DB3">
              <w:t>am kľúčovým</w:t>
            </w:r>
            <w:r w:rsidR="00F714AB" w:rsidRPr="003A6DB3">
              <w:t xml:space="preserve"> pre danú </w:t>
            </w:r>
            <w:proofErr w:type="spellStart"/>
            <w:r w:rsidR="00F714AB" w:rsidRPr="003A6DB3">
              <w:t>špecilaizáciu</w:t>
            </w:r>
            <w:proofErr w:type="spellEnd"/>
          </w:p>
          <w:p w:rsidR="00B35760" w:rsidRPr="003A6DB3" w:rsidRDefault="00F714AB" w:rsidP="00CF7EFC">
            <w:pPr>
              <w:numPr>
                <w:ilvl w:val="0"/>
                <w:numId w:val="1"/>
              </w:numPr>
              <w:spacing w:after="0" w:line="240" w:lineRule="auto"/>
            </w:pPr>
            <w:r w:rsidRPr="003A6DB3">
              <w:t xml:space="preserve">si </w:t>
            </w:r>
            <w:r w:rsidR="00A7692E" w:rsidRPr="003A6DB3">
              <w:t xml:space="preserve">uvedomovať širší multidisciplinárny kontext inžinierskeho odvetvia. </w:t>
            </w:r>
          </w:p>
        </w:tc>
      </w:tr>
      <w:tr w:rsidR="00B35760" w:rsidRPr="00690E8C" w:rsidTr="00B35760">
        <w:tc>
          <w:tcPr>
            <w:tcW w:w="2972" w:type="dxa"/>
            <w:vMerge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62" w:type="dxa"/>
          </w:tcPr>
          <w:p w:rsidR="00B35760" w:rsidRPr="003A6DB3" w:rsidRDefault="00F714AB" w:rsidP="00CC1DDE">
            <w:pPr>
              <w:pStyle w:val="Bezriadkovania"/>
            </w:pPr>
            <w:r w:rsidRPr="003A6DB3">
              <w:t>Absolventi 2. cyklu by mali</w:t>
            </w:r>
          </w:p>
          <w:p w:rsidR="00F714AB" w:rsidRPr="003A6DB3" w:rsidRDefault="004E1C4E" w:rsidP="00F714AB">
            <w:pPr>
              <w:numPr>
                <w:ilvl w:val="0"/>
                <w:numId w:val="1"/>
              </w:numPr>
              <w:spacing w:after="0" w:line="240" w:lineRule="auto"/>
            </w:pPr>
            <w:r w:rsidRPr="003A6DB3">
              <w:t>hlbšie poznať a rozumieť vedeckým a matematickým princípom používaným</w:t>
            </w:r>
            <w:r w:rsidR="00F714AB" w:rsidRPr="003A6DB3">
              <w:t xml:space="preserve"> v danom inžinierskom odvetví na príslušnej úrovni</w:t>
            </w:r>
          </w:p>
          <w:p w:rsidR="00F714AB" w:rsidRPr="003A6DB3" w:rsidRDefault="00F714AB" w:rsidP="00F714AB">
            <w:pPr>
              <w:numPr>
                <w:ilvl w:val="0"/>
                <w:numId w:val="1"/>
              </w:numPr>
              <w:spacing w:after="0" w:line="240" w:lineRule="auto"/>
            </w:pPr>
            <w:r w:rsidRPr="003A6DB3">
              <w:t>hlbš</w:t>
            </w:r>
            <w:r w:rsidR="004E1C4E" w:rsidRPr="003A6DB3">
              <w:t>ie poznať a rozumieť inžinierskym disciplínam kľúčovým</w:t>
            </w:r>
            <w:r w:rsidRPr="003A6DB3">
              <w:t xml:space="preserve"> pre danú </w:t>
            </w:r>
            <w:proofErr w:type="spellStart"/>
            <w:r w:rsidRPr="003A6DB3">
              <w:t>špecilaizáciu</w:t>
            </w:r>
            <w:proofErr w:type="spellEnd"/>
          </w:p>
          <w:p w:rsidR="00F714AB" w:rsidRPr="003A6DB3" w:rsidRDefault="00F714AB" w:rsidP="00F714AB">
            <w:pPr>
              <w:numPr>
                <w:ilvl w:val="0"/>
                <w:numId w:val="1"/>
              </w:numPr>
              <w:spacing w:after="0" w:line="240" w:lineRule="auto"/>
            </w:pPr>
            <w:r w:rsidRPr="003A6DB3">
              <w:t>kriticky si uvedomovať širší multidisciplinárny kontext inžinierskeho odvetvia a problémov na rozhraní rôznych disciplín</w:t>
            </w:r>
          </w:p>
          <w:p w:rsidR="00B35760" w:rsidRPr="00CC1DDE" w:rsidRDefault="00A7692E" w:rsidP="0045245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3A6DB3">
              <w:t xml:space="preserve">hlbšiu </w:t>
            </w:r>
            <w:r w:rsidR="00F714AB" w:rsidRPr="003A6DB3">
              <w:t xml:space="preserve">si uvedomovať </w:t>
            </w:r>
            <w:r w:rsidRPr="003A6DB3">
              <w:t>p</w:t>
            </w:r>
            <w:r w:rsidR="00F714AB" w:rsidRPr="003A6DB3">
              <w:t>rogresívne smery</w:t>
            </w:r>
            <w:r w:rsidRPr="003A6DB3">
              <w:t xml:space="preserve"> v </w:t>
            </w:r>
            <w:r w:rsidR="00F714AB" w:rsidRPr="003A6DB3">
              <w:t>danej špecializácii</w:t>
            </w:r>
            <w:r w:rsidR="004E1C4E" w:rsidRPr="003A6DB3">
              <w:t>.</w:t>
            </w:r>
          </w:p>
        </w:tc>
      </w:tr>
      <w:tr w:rsidR="00B35760" w:rsidRPr="00690E8C" w:rsidTr="00B35760">
        <w:tc>
          <w:tcPr>
            <w:tcW w:w="2972" w:type="dxa"/>
            <w:vMerge w:val="restart"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2. </w:t>
            </w:r>
            <w:r w:rsidR="00C10FB9" w:rsidRPr="00CC1DDE">
              <w:rPr>
                <w:rFonts w:cs="Arial"/>
                <w:b/>
              </w:rPr>
              <w:t>Inžinierska analýza</w:t>
            </w:r>
          </w:p>
        </w:tc>
        <w:tc>
          <w:tcPr>
            <w:tcW w:w="6662" w:type="dxa"/>
          </w:tcPr>
          <w:p w:rsidR="00A7692E" w:rsidRPr="003A6DB3" w:rsidRDefault="00F714AB" w:rsidP="00CC1DDE">
            <w:pPr>
              <w:pStyle w:val="Bezriadkovania"/>
            </w:pPr>
            <w:r w:rsidRPr="003A6DB3">
              <w:t>Absolventi 1. cyklu by mali</w:t>
            </w:r>
          </w:p>
          <w:p w:rsidR="005C5A40" w:rsidRPr="003A6DB3" w:rsidRDefault="00A7692E" w:rsidP="00A7692E">
            <w:pPr>
              <w:numPr>
                <w:ilvl w:val="0"/>
                <w:numId w:val="11"/>
              </w:numPr>
              <w:spacing w:after="0" w:line="240" w:lineRule="auto"/>
            </w:pPr>
            <w:r w:rsidRPr="003A6DB3">
              <w:t xml:space="preserve">byť schopní </w:t>
            </w:r>
            <w:r w:rsidR="005C5A40" w:rsidRPr="003A6DB3">
              <w:t>analyzovať zložité inžinierske problémy, procesy a systémy v danom odvetví. Selektovať a aplikovať relevantné metódy založené na analytických, výpočtových a experimentálnych metódach. Správne interpretovať výstupy takýchto analýz.</w:t>
            </w:r>
          </w:p>
          <w:p w:rsidR="00B35760" w:rsidRPr="00CC1DDE" w:rsidRDefault="005C5A40" w:rsidP="00805A74">
            <w:pPr>
              <w:numPr>
                <w:ilvl w:val="0"/>
                <w:numId w:val="11"/>
              </w:numPr>
              <w:spacing w:after="0" w:line="240" w:lineRule="auto"/>
            </w:pPr>
            <w:r w:rsidRPr="003A6DB3">
              <w:t xml:space="preserve">byť schopní identifikovať, formulovať a riešiť inžinierske problémy v danej špecializácii. Selektovať a aplikovať relevantné metódy založené na analytických, výpočtových a experimentálnych </w:t>
            </w:r>
            <w:r w:rsidRPr="003A6DB3">
              <w:lastRenderedPageBreak/>
              <w:t xml:space="preserve">metódach. Rozpoznať dôležitosť netechnických napr. spoločenských, zdravotných, bezpečnostných, </w:t>
            </w:r>
            <w:proofErr w:type="spellStart"/>
            <w:r w:rsidRPr="003A6DB3">
              <w:t>envirtonmentálnych</w:t>
            </w:r>
            <w:proofErr w:type="spellEnd"/>
            <w:r w:rsidRPr="003A6DB3">
              <w:t xml:space="preserve"> či priemyselných  obmedzení</w:t>
            </w:r>
            <w:r w:rsidR="004E1C4E" w:rsidRPr="003A6DB3">
              <w:t>.</w:t>
            </w:r>
          </w:p>
        </w:tc>
      </w:tr>
      <w:tr w:rsidR="00B35760" w:rsidRPr="00690E8C" w:rsidTr="00B35760">
        <w:tc>
          <w:tcPr>
            <w:tcW w:w="2972" w:type="dxa"/>
            <w:vMerge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62" w:type="dxa"/>
          </w:tcPr>
          <w:p w:rsidR="00B35760" w:rsidRPr="003A6DB3" w:rsidRDefault="00F714AB" w:rsidP="00CC1DDE">
            <w:pPr>
              <w:pStyle w:val="Bezriadkovania"/>
            </w:pPr>
            <w:r w:rsidRPr="003A6DB3">
              <w:t>Absolventi 2. cyklu by mali</w:t>
            </w:r>
          </w:p>
          <w:p w:rsidR="005C5A40" w:rsidRPr="003A6DB3" w:rsidRDefault="005C5A40" w:rsidP="00A7692E">
            <w:pPr>
              <w:numPr>
                <w:ilvl w:val="0"/>
                <w:numId w:val="12"/>
              </w:numPr>
              <w:spacing w:after="0" w:line="240" w:lineRule="auto"/>
            </w:pPr>
            <w:r w:rsidRPr="003A6DB3">
              <w:t>byť schopní analyzovať nové a zložité inžinierske problémy, procesy a systémy v rámci širšieho alebo multidisciplinárneho kontextu. Vybrať a aplikovať najvhodnejšie a relevantné metódy založené na analytických, výpočtových a experimentálnych metódach, alebo na nových inovatívnych metódach. Kriticky interpretovať výsledky takýchto analýz</w:t>
            </w:r>
            <w:r w:rsidR="004E1C4E" w:rsidRPr="003A6DB3">
              <w:t>,</w:t>
            </w:r>
          </w:p>
          <w:p w:rsidR="005C5A40" w:rsidRPr="003A6DB3" w:rsidRDefault="00C10FB9" w:rsidP="00A7692E">
            <w:pPr>
              <w:numPr>
                <w:ilvl w:val="0"/>
                <w:numId w:val="12"/>
              </w:numPr>
              <w:spacing w:after="0" w:line="240" w:lineRule="auto"/>
            </w:pPr>
            <w:r w:rsidRPr="003A6DB3">
              <w:t>byť schopní vytv</w:t>
            </w:r>
            <w:r w:rsidR="005C5A40" w:rsidRPr="003A6DB3">
              <w:t>árať koncepcie inžinierskych produktov, procesov a systémov</w:t>
            </w:r>
            <w:r w:rsidR="004E1C4E" w:rsidRPr="003A6DB3">
              <w:t>,</w:t>
            </w:r>
          </w:p>
          <w:p w:rsidR="007505F6" w:rsidRPr="003A6DB3" w:rsidRDefault="005C5A40" w:rsidP="00A7692E">
            <w:pPr>
              <w:numPr>
                <w:ilvl w:val="0"/>
                <w:numId w:val="12"/>
              </w:numPr>
              <w:spacing w:after="0" w:line="240" w:lineRule="auto"/>
            </w:pPr>
            <w:r w:rsidRPr="003A6DB3">
              <w:t xml:space="preserve">byť schopní identifikovať, formulovať a riešiť </w:t>
            </w:r>
            <w:r w:rsidR="007505F6" w:rsidRPr="003A6DB3">
              <w:t xml:space="preserve"> neznáme zložité problémy, ktoré nie sú úplne definované, majú náročné špecifikácie, môžu vyžadovať zváženie netechnických, napr. spoločenských, zdravotných, bezpečnostných, environmentálnych, ekonomických či priemyselných obmedzení. Vybrať a aplikovať najvhodnejšie a relevantné metódy založené na analytických, výpočtových a experimentálnych </w:t>
            </w:r>
            <w:r w:rsidR="004E1C4E" w:rsidRPr="003A6DB3">
              <w:t>metódach, alebo na nových inova</w:t>
            </w:r>
            <w:r w:rsidR="007505F6" w:rsidRPr="003A6DB3">
              <w:t>tívn</w:t>
            </w:r>
            <w:r w:rsidR="004E1C4E" w:rsidRPr="003A6DB3">
              <w:t>ych metódach riešenia problémov,</w:t>
            </w:r>
          </w:p>
          <w:p w:rsidR="00A7692E" w:rsidRPr="003A6DB3" w:rsidRDefault="007505F6" w:rsidP="007505F6">
            <w:pPr>
              <w:numPr>
                <w:ilvl w:val="0"/>
                <w:numId w:val="12"/>
              </w:numPr>
              <w:spacing w:after="0" w:line="240" w:lineRule="auto"/>
            </w:pPr>
            <w:r w:rsidRPr="003A6DB3">
              <w:t xml:space="preserve">mať schopnosť identifikovať, formulovať a riešiť zložité </w:t>
            </w:r>
            <w:proofErr w:type="spellStart"/>
            <w:r w:rsidRPr="003A6DB3">
              <w:t>probémy</w:t>
            </w:r>
            <w:proofErr w:type="spellEnd"/>
            <w:r w:rsidRPr="003A6DB3">
              <w:t xml:space="preserve"> v nových a rozvíjajúcich sa oblastiach špecializácie</w:t>
            </w:r>
            <w:r w:rsidR="004E1C4E" w:rsidRPr="003A6DB3">
              <w:t>.</w:t>
            </w:r>
          </w:p>
        </w:tc>
      </w:tr>
      <w:tr w:rsidR="00B35760" w:rsidRPr="00690E8C" w:rsidTr="00B35760">
        <w:tc>
          <w:tcPr>
            <w:tcW w:w="2972" w:type="dxa"/>
            <w:vMerge w:val="restart"/>
          </w:tcPr>
          <w:p w:rsidR="00B35760" w:rsidRPr="00CC1DDE" w:rsidRDefault="00B35760" w:rsidP="00805A74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>3.</w:t>
            </w:r>
            <w:r w:rsidR="004E1C4E" w:rsidRPr="00CC1DDE">
              <w:rPr>
                <w:rFonts w:cs="Arial"/>
                <w:b/>
              </w:rPr>
              <w:t xml:space="preserve"> Inžiniersky dizajn</w:t>
            </w:r>
          </w:p>
        </w:tc>
        <w:tc>
          <w:tcPr>
            <w:tcW w:w="6662" w:type="dxa"/>
          </w:tcPr>
          <w:p w:rsidR="00B35760" w:rsidRPr="003A6DB3" w:rsidRDefault="00F714AB" w:rsidP="00CC1DDE">
            <w:pPr>
              <w:pStyle w:val="Bezriadkovania"/>
            </w:pPr>
            <w:r w:rsidRPr="003A6DB3">
              <w:t>Absolventi 1. cyklu by mali</w:t>
            </w:r>
          </w:p>
          <w:p w:rsidR="00B86B94" w:rsidRPr="003A6DB3" w:rsidRDefault="00B86B94" w:rsidP="00A7692E">
            <w:pPr>
              <w:numPr>
                <w:ilvl w:val="0"/>
                <w:numId w:val="13"/>
              </w:numPr>
              <w:spacing w:after="0" w:line="240" w:lineRule="auto"/>
            </w:pPr>
            <w:r w:rsidRPr="003A6DB3">
              <w:t>byť schopní vyvinúť a navrhnúť zložité produkty (zariadenia, artefakty, projekty, atď.), procesy a systémy v danej špecializácii, aby spĺňali špecifikovan</w:t>
            </w:r>
            <w:r w:rsidR="004E1C4E" w:rsidRPr="003A6DB3">
              <w:t>é požiadavky, ktoré môžu zahŕňať</w:t>
            </w:r>
            <w:r w:rsidRPr="003A6DB3">
              <w:t xml:space="preserve"> netechnické aspekty - spoločenské, zdravotné, bezpečnostné, environmentálne, ekonomické a </w:t>
            </w:r>
            <w:proofErr w:type="spellStart"/>
            <w:r w:rsidRPr="003A6DB3">
              <w:t>preimyselné</w:t>
            </w:r>
            <w:proofErr w:type="spellEnd"/>
            <w:r w:rsidRPr="003A6DB3">
              <w:t>. Vybrať a aplikovať relevantné metódy projektovania</w:t>
            </w:r>
            <w:r w:rsidR="004E1C4E" w:rsidRPr="003A6DB3">
              <w:t xml:space="preserve"> riešenia,</w:t>
            </w:r>
          </w:p>
          <w:p w:rsidR="00A7692E" w:rsidRPr="003A6DB3" w:rsidRDefault="00D1007A" w:rsidP="00A7692E">
            <w:pPr>
              <w:numPr>
                <w:ilvl w:val="0"/>
                <w:numId w:val="13"/>
              </w:numPr>
              <w:spacing w:after="0" w:line="240" w:lineRule="auto"/>
            </w:pPr>
            <w:r w:rsidRPr="003A6DB3">
              <w:t xml:space="preserve">preukázať schopnosť </w:t>
            </w:r>
            <w:r w:rsidR="00B86B94" w:rsidRPr="003A6DB3">
              <w:t xml:space="preserve">navrhnúť riešenie </w:t>
            </w:r>
            <w:r w:rsidRPr="003A6DB3">
              <w:t>vezmúc do úvahy progresívne postupy v danej špecializácii</w:t>
            </w:r>
            <w:r w:rsidR="004E1C4E" w:rsidRPr="003A6DB3">
              <w:t>.</w:t>
            </w:r>
          </w:p>
        </w:tc>
      </w:tr>
      <w:tr w:rsidR="00B35760" w:rsidRPr="00690E8C" w:rsidTr="00B35760">
        <w:tc>
          <w:tcPr>
            <w:tcW w:w="2972" w:type="dxa"/>
            <w:vMerge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62" w:type="dxa"/>
          </w:tcPr>
          <w:p w:rsidR="00D1007A" w:rsidRPr="003A6DB3" w:rsidRDefault="00F714AB" w:rsidP="00CC1DDE">
            <w:pPr>
              <w:pStyle w:val="Bezriadkovania"/>
            </w:pPr>
            <w:r w:rsidRPr="003A6DB3">
              <w:t>Absolventi 2. cyklu by mali</w:t>
            </w:r>
          </w:p>
          <w:p w:rsidR="00D1007A" w:rsidRPr="003A6DB3" w:rsidRDefault="00D1007A" w:rsidP="00D1007A">
            <w:pPr>
              <w:numPr>
                <w:ilvl w:val="0"/>
                <w:numId w:val="13"/>
              </w:numPr>
              <w:spacing w:after="0" w:line="240" w:lineRule="auto"/>
            </w:pPr>
            <w:r w:rsidRPr="003A6DB3">
              <w:t>byť schopní vyvinúť a navrhnúť zložité produkty (zariadenia, artefakty, projekty, atď.), procesy a systémy, ktoré majú náročné a nie úplne definované špecifikácie, ktoré vyžadujú integráciu znalostí z rôznych oblastí a netechnických aspektov, napr. spoločenských, zdravotných, bezpečnostných, environmentálnych, ekonomických a komerčných. Vybrať a aplikovať najvhodnejšie a relevantné metódy vývoja alebo použiť kreativitu pri vývoji nových a originálnych metód vývoja.</w:t>
            </w:r>
          </w:p>
          <w:p w:rsidR="00B35760" w:rsidRPr="003A6DB3" w:rsidRDefault="00D1007A" w:rsidP="001A3596">
            <w:pPr>
              <w:numPr>
                <w:ilvl w:val="0"/>
                <w:numId w:val="13"/>
              </w:numPr>
              <w:spacing w:after="0" w:line="240" w:lineRule="auto"/>
            </w:pPr>
            <w:r w:rsidRPr="003A6DB3">
              <w:t>byť schopní projektovať</w:t>
            </w:r>
            <w:r w:rsidR="003A6DB3" w:rsidRPr="003A6DB3">
              <w:t xml:space="preserve"> riešenie</w:t>
            </w:r>
            <w:r w:rsidRPr="003A6DB3">
              <w:t xml:space="preserve"> s použitím znalostí a pochopenia progresívnych postupov v danej špecializácii</w:t>
            </w:r>
          </w:p>
        </w:tc>
      </w:tr>
      <w:tr w:rsidR="00B35760" w:rsidRPr="00690E8C" w:rsidTr="00B35760">
        <w:tc>
          <w:tcPr>
            <w:tcW w:w="2972" w:type="dxa"/>
            <w:vMerge w:val="restart"/>
          </w:tcPr>
          <w:p w:rsidR="00B35760" w:rsidRPr="00CC1DDE" w:rsidRDefault="00B35760" w:rsidP="00083EA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4. </w:t>
            </w:r>
            <w:r w:rsidR="00083EA5">
              <w:rPr>
                <w:rFonts w:cs="Arial"/>
                <w:b/>
              </w:rPr>
              <w:t>Výskum</w:t>
            </w:r>
          </w:p>
        </w:tc>
        <w:tc>
          <w:tcPr>
            <w:tcW w:w="6662" w:type="dxa"/>
          </w:tcPr>
          <w:p w:rsidR="001A3596" w:rsidRPr="003A6DB3" w:rsidRDefault="00F714AB" w:rsidP="00CC1DDE">
            <w:pPr>
              <w:pStyle w:val="Bezriadkovania"/>
            </w:pPr>
            <w:r w:rsidRPr="003A6DB3">
              <w:t>Absolventi 1. cyklu by mali</w:t>
            </w:r>
          </w:p>
          <w:p w:rsidR="001A3596" w:rsidRPr="003A6DB3" w:rsidRDefault="001A3596" w:rsidP="00A7692E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robiť </w:t>
            </w:r>
            <w:proofErr w:type="spellStart"/>
            <w:r w:rsidRPr="003A6DB3">
              <w:t>literatúrne</w:t>
            </w:r>
            <w:proofErr w:type="spellEnd"/>
            <w:r w:rsidRPr="003A6DB3">
              <w:t xml:space="preserve"> rešerše, využívať a kriticky preberať informácie z vedeckých databáz a iných vhodných zdrojov, vytvárať </w:t>
            </w:r>
            <w:r w:rsidRPr="003A6DB3">
              <w:lastRenderedPageBreak/>
              <w:t>modely a vykonávať an</w:t>
            </w:r>
            <w:r w:rsidR="003A6DB3" w:rsidRPr="003A6DB3">
              <w:t>alýz v rámci podrobného skúmania</w:t>
            </w:r>
            <w:r w:rsidRPr="003A6DB3">
              <w:t xml:space="preserve"> technických aspektov v danom odbore</w:t>
            </w:r>
          </w:p>
          <w:p w:rsidR="001A3596" w:rsidRPr="003A6DB3" w:rsidRDefault="001A3596" w:rsidP="00A7692E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poznať a aplikovať štandardnú prax a bezpečnostné predpisy vo svojej špecializácii</w:t>
            </w:r>
          </w:p>
          <w:p w:rsidR="00B35760" w:rsidRPr="003A6DB3" w:rsidRDefault="001A3596" w:rsidP="001A3596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disponovať praktickými (laboratórnymi, dielenskými a pod.) zručnosťami a schopnosťami plánovať a uskutočňovať experimentálne výskumy, interpretovať výsledky a vyvodzovať závery vo svojej špecializácii</w:t>
            </w:r>
          </w:p>
        </w:tc>
      </w:tr>
      <w:tr w:rsidR="00B35760" w:rsidRPr="00690E8C" w:rsidTr="00B35760">
        <w:tc>
          <w:tcPr>
            <w:tcW w:w="2972" w:type="dxa"/>
            <w:vMerge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62" w:type="dxa"/>
          </w:tcPr>
          <w:p w:rsidR="00A7692E" w:rsidRPr="003A6DB3" w:rsidRDefault="00F714AB" w:rsidP="00CC1DDE">
            <w:pPr>
              <w:pStyle w:val="Bezriadkovania"/>
            </w:pPr>
            <w:r w:rsidRPr="003A6DB3">
              <w:t>Absolventi 2. cyklu by mali</w:t>
            </w:r>
          </w:p>
          <w:p w:rsidR="001A3596" w:rsidRPr="003A6DB3" w:rsidRDefault="001A3596" w:rsidP="001A3596">
            <w:pPr>
              <w:numPr>
                <w:ilvl w:val="0"/>
                <w:numId w:val="16"/>
              </w:numPr>
              <w:spacing w:after="0" w:line="240" w:lineRule="auto"/>
            </w:pPr>
            <w:r w:rsidRPr="003A6DB3">
              <w:t xml:space="preserve">byť schopní identifikovať, lokalizovať a získať </w:t>
            </w:r>
            <w:proofErr w:type="spellStart"/>
            <w:r w:rsidRPr="003A6DB3">
              <w:t>portrebné</w:t>
            </w:r>
            <w:proofErr w:type="spellEnd"/>
            <w:r w:rsidRPr="003A6DB3">
              <w:t xml:space="preserve"> údaje</w:t>
            </w:r>
          </w:p>
          <w:p w:rsidR="001A3596" w:rsidRPr="003A6DB3" w:rsidRDefault="001A3596" w:rsidP="001A3596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robiť </w:t>
            </w:r>
            <w:proofErr w:type="spellStart"/>
            <w:r w:rsidRPr="003A6DB3">
              <w:t>literatúrne</w:t>
            </w:r>
            <w:proofErr w:type="spellEnd"/>
            <w:r w:rsidRPr="003A6DB3">
              <w:t xml:space="preserve"> rešerše, využívať a kriticky preberať informácie z vedeckých databáz a iných vhodných zdrojov, vytvárať modely a vykonávať an</w:t>
            </w:r>
            <w:r w:rsidR="003A6DB3" w:rsidRPr="003A6DB3">
              <w:t>alýz v rámci podrobného skúmania</w:t>
            </w:r>
            <w:r w:rsidRPr="003A6DB3">
              <w:t xml:space="preserve"> technických aspektov v danom odbore</w:t>
            </w:r>
          </w:p>
          <w:p w:rsidR="001A3596" w:rsidRPr="003A6DB3" w:rsidRDefault="001A3596" w:rsidP="001A3596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poznať a aplikovať štandardnú prax a bezpečnostné predpisy vo svojej špecializácii</w:t>
            </w:r>
          </w:p>
          <w:p w:rsidR="001A3596" w:rsidRPr="003A6DB3" w:rsidRDefault="001A3596" w:rsidP="001A3596">
            <w:pPr>
              <w:numPr>
                <w:ilvl w:val="0"/>
                <w:numId w:val="16"/>
              </w:numPr>
              <w:spacing w:after="0" w:line="240" w:lineRule="auto"/>
            </w:pPr>
            <w:r w:rsidRPr="003A6DB3">
              <w:t xml:space="preserve">disponovať </w:t>
            </w:r>
            <w:r w:rsidR="00F456C6" w:rsidRPr="003A6DB3">
              <w:t xml:space="preserve">pokročilými </w:t>
            </w:r>
            <w:r w:rsidRPr="003A6DB3">
              <w:t>praktickými (laboratórnymi, dielenskými a pod.) zručnosťami a schopnosťami</w:t>
            </w:r>
            <w:r w:rsidR="003A6DB3" w:rsidRPr="003A6DB3">
              <w:t>,</w:t>
            </w:r>
            <w:r w:rsidRPr="003A6DB3">
              <w:t xml:space="preserve"> plánovať a uskutočňovať experimentálne výskumy,</w:t>
            </w:r>
            <w:r w:rsidR="00F456C6" w:rsidRPr="003A6DB3">
              <w:t xml:space="preserve"> kriticky</w:t>
            </w:r>
            <w:r w:rsidRPr="003A6DB3">
              <w:t xml:space="preserve"> interpretovať výsledky a vyvodzovať závery vo svojej špecializácii</w:t>
            </w:r>
          </w:p>
          <w:p w:rsidR="00CF7EFC" w:rsidRPr="003A6DB3" w:rsidRDefault="00F456C6" w:rsidP="00F456C6">
            <w:pPr>
              <w:numPr>
                <w:ilvl w:val="0"/>
                <w:numId w:val="16"/>
              </w:numPr>
              <w:spacing w:after="0" w:line="240" w:lineRule="auto"/>
            </w:pPr>
            <w:r w:rsidRPr="003A6DB3">
              <w:t>byť schopní skúmať aplikáciu nových a vyvíjajúcich sa technológií v progresívnych oblastiach</w:t>
            </w:r>
          </w:p>
        </w:tc>
      </w:tr>
      <w:tr w:rsidR="00B35760" w:rsidRPr="00690E8C" w:rsidTr="00B35760">
        <w:tc>
          <w:tcPr>
            <w:tcW w:w="2972" w:type="dxa"/>
            <w:vMerge w:val="restart"/>
          </w:tcPr>
          <w:p w:rsidR="00B35760" w:rsidRPr="00CC1DDE" w:rsidRDefault="00B35760" w:rsidP="00083EA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t xml:space="preserve">5. </w:t>
            </w:r>
            <w:r w:rsidR="00083EA5">
              <w:rPr>
                <w:rFonts w:cs="Arial"/>
                <w:b/>
              </w:rPr>
              <w:t>Inžinierska prax</w:t>
            </w:r>
          </w:p>
        </w:tc>
        <w:tc>
          <w:tcPr>
            <w:tcW w:w="6662" w:type="dxa"/>
          </w:tcPr>
          <w:p w:rsidR="00F456C6" w:rsidRPr="003A6DB3" w:rsidRDefault="00F714AB" w:rsidP="00CC1DDE">
            <w:pPr>
              <w:pStyle w:val="Bezriadkovania"/>
            </w:pPr>
            <w:r w:rsidRPr="003A6DB3">
              <w:t>Absolventi 1. cyklu by mali</w:t>
            </w:r>
          </w:p>
          <w:p w:rsidR="00F456C6" w:rsidRPr="003A6DB3" w:rsidRDefault="00F456C6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chápať aplikovateľné techniky a metódy analýzy, projektovania a výskumu ako aj ich obmedzenia v danej špecializácii</w:t>
            </w:r>
          </w:p>
          <w:p w:rsidR="00F456C6" w:rsidRPr="003A6DB3" w:rsidRDefault="00F456C6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disponovať praktickými zručnosťami potrebnými na riešenie zložitých problémov, realizáciu zložitých inžinierskych projektov a na vykonávanie výskumov v danej oblasti</w:t>
            </w:r>
          </w:p>
          <w:p w:rsidR="00F456C6" w:rsidRPr="003A6DB3" w:rsidRDefault="00F456C6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rozumieť použiteľnosti materiálov, zariadení a nástrojov, inžinierskych technológií a procesov a ich obmedzení v danej oblasti</w:t>
            </w:r>
          </w:p>
          <w:p w:rsidR="00F456C6" w:rsidRPr="003A6DB3" w:rsidRDefault="00F456C6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aplikovať normy inžinierskej praxe v danej </w:t>
            </w:r>
            <w:proofErr w:type="spellStart"/>
            <w:r w:rsidRPr="003A6DB3">
              <w:t>obalsti</w:t>
            </w:r>
            <w:proofErr w:type="spellEnd"/>
          </w:p>
          <w:p w:rsidR="00F456C6" w:rsidRPr="003A6DB3" w:rsidRDefault="00F456C6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si vedomí netechnických dôsledkov inžinierskej praxe, napr. spoločenských, zdravotných, bezpečnostných, environmentá</w:t>
            </w:r>
            <w:r w:rsidR="003A6DB3" w:rsidRPr="003A6DB3">
              <w:t>l</w:t>
            </w:r>
            <w:r w:rsidRPr="003A6DB3">
              <w:t>nych, ekonomických a priemyselných</w:t>
            </w:r>
          </w:p>
          <w:p w:rsidR="00B35760" w:rsidRPr="003A6DB3" w:rsidRDefault="00230474" w:rsidP="00230474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si vedomí ekonomických, organizačných a manažérskych problémov (napr. projektový manažment, manažment zmien a rizík) v </w:t>
            </w:r>
            <w:proofErr w:type="spellStart"/>
            <w:r w:rsidRPr="003A6DB3">
              <w:t>priemyslenom</w:t>
            </w:r>
            <w:proofErr w:type="spellEnd"/>
            <w:r w:rsidRPr="003A6DB3">
              <w:t xml:space="preserve"> a podnikateľskom kontexte</w:t>
            </w:r>
          </w:p>
        </w:tc>
      </w:tr>
      <w:tr w:rsidR="00B35760" w:rsidRPr="00690E8C" w:rsidTr="00B35760">
        <w:tc>
          <w:tcPr>
            <w:tcW w:w="2972" w:type="dxa"/>
            <w:vMerge/>
          </w:tcPr>
          <w:p w:rsidR="00B35760" w:rsidRPr="00CC1DDE" w:rsidRDefault="00B35760" w:rsidP="00A7513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662" w:type="dxa"/>
          </w:tcPr>
          <w:p w:rsidR="008E3C6D" w:rsidRPr="003A6DB3" w:rsidRDefault="00F714AB" w:rsidP="00CC1DDE">
            <w:pPr>
              <w:pStyle w:val="Bezriadkovania"/>
            </w:pPr>
            <w:r w:rsidRPr="003A6DB3">
              <w:t>Absolventi 2. cyklu by mali</w:t>
            </w:r>
          </w:p>
          <w:p w:rsidR="008E3C6D" w:rsidRPr="003A6DB3" w:rsidRDefault="008E3C6D" w:rsidP="008E3C6D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v celej šírke chápať aplikovateľné techniky a metódy analýzy, projektovania a výskumu ako aj ich obmedzenia v danej špecializácii</w:t>
            </w:r>
          </w:p>
          <w:p w:rsidR="008E3C6D" w:rsidRPr="003A6DB3" w:rsidRDefault="008E3C6D" w:rsidP="008E3C6D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disponovať praktickými zručnosťami</w:t>
            </w:r>
            <w:r w:rsidR="003A6DB3" w:rsidRPr="003A6DB3">
              <w:t>,</w:t>
            </w:r>
            <w:r w:rsidRPr="003A6DB3">
              <w:t xml:space="preserve"> vrátane počítačových zručností, potrebnými na riešenie zložitých problémov, realizáciu zložitých inžinierskych projektov a na vykonávanie zložitých výskumov v danej oblasti</w:t>
            </w:r>
          </w:p>
          <w:p w:rsidR="008E3C6D" w:rsidRPr="003A6DB3" w:rsidRDefault="008E3C6D" w:rsidP="008E3C6D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lastRenderedPageBreak/>
              <w:t>v celej šírke rozumieť použiteľnosti materiálov, zariadení a nástrojov, inžinierskych technológií a procesov a ich obmedzení v danej oblasti</w:t>
            </w:r>
          </w:p>
          <w:p w:rsidR="008E3C6D" w:rsidRPr="003A6DB3" w:rsidRDefault="008E3C6D" w:rsidP="008E3C6D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aplikovať normy inžinierskej praxe v danej oblasti</w:t>
            </w:r>
          </w:p>
          <w:p w:rsidR="008E3C6D" w:rsidRPr="003A6DB3" w:rsidRDefault="008E3C6D" w:rsidP="008E3C6D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poznať a rozumieť netechnickým dôsledkom inžinierskej praxe, napr. spoločenským, zdravotným, bezpečnostným, </w:t>
            </w:r>
            <w:proofErr w:type="spellStart"/>
            <w:r w:rsidRPr="003A6DB3">
              <w:t>environmentánym</w:t>
            </w:r>
            <w:proofErr w:type="spellEnd"/>
            <w:r w:rsidRPr="003A6DB3">
              <w:t>, ekonomickým a priemyselným</w:t>
            </w:r>
          </w:p>
          <w:p w:rsidR="00B35760" w:rsidRPr="00CC1DDE" w:rsidRDefault="008E3C6D" w:rsidP="00CF7EFC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vedieť kriticky pristupovať k ekonomickým, organizačným a manažérskym problémom (napr. k projektovému manažmentu, manažmentu zmien a rizík) v </w:t>
            </w:r>
            <w:proofErr w:type="spellStart"/>
            <w:r w:rsidRPr="003A6DB3">
              <w:t>priemyslenom</w:t>
            </w:r>
            <w:proofErr w:type="spellEnd"/>
            <w:r w:rsidRPr="003A6DB3">
              <w:t xml:space="preserve"> a podnikateľskom kontexte</w:t>
            </w:r>
          </w:p>
        </w:tc>
      </w:tr>
      <w:tr w:rsidR="00B35760" w:rsidRPr="00690E8C" w:rsidTr="00B35760">
        <w:tc>
          <w:tcPr>
            <w:tcW w:w="2972" w:type="dxa"/>
            <w:vMerge w:val="restart"/>
          </w:tcPr>
          <w:p w:rsidR="00B35760" w:rsidRPr="00CC1DDE" w:rsidRDefault="00B35760" w:rsidP="00083EA5">
            <w:pPr>
              <w:spacing w:after="0" w:line="240" w:lineRule="auto"/>
              <w:rPr>
                <w:rFonts w:cs="Arial"/>
                <w:b/>
              </w:rPr>
            </w:pPr>
            <w:r w:rsidRPr="00CC1DDE">
              <w:rPr>
                <w:rFonts w:cs="Arial"/>
                <w:b/>
              </w:rPr>
              <w:lastRenderedPageBreak/>
              <w:t xml:space="preserve">6. </w:t>
            </w:r>
            <w:r w:rsidR="00083EA5">
              <w:rPr>
                <w:rFonts w:cs="Arial"/>
                <w:b/>
              </w:rPr>
              <w:t>Univerzálne zručnosti</w:t>
            </w:r>
            <w:bookmarkStart w:id="7" w:name="_GoBack"/>
            <w:bookmarkEnd w:id="7"/>
          </w:p>
        </w:tc>
        <w:tc>
          <w:tcPr>
            <w:tcW w:w="6662" w:type="dxa"/>
          </w:tcPr>
          <w:p w:rsidR="00343230" w:rsidRPr="003A6DB3" w:rsidRDefault="00F714AB" w:rsidP="00CC1DDE">
            <w:pPr>
              <w:pStyle w:val="Bezriadkovania"/>
            </w:pPr>
            <w:r w:rsidRPr="003A6DB3">
              <w:t>Absolventi 1. cyklu by mali</w:t>
            </w:r>
          </w:p>
          <w:p w:rsidR="008E3C6D" w:rsidRPr="003A6DB3" w:rsidRDefault="008E3C6D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zhromažďovať a interpretovať údaje a zvládať ich zložitosť, </w:t>
            </w:r>
            <w:r w:rsidR="00A42AD4" w:rsidRPr="003A6DB3">
              <w:t>posudzovať ich aj z hľadiska relevantných spoločenských a etických problémov</w:t>
            </w:r>
          </w:p>
          <w:p w:rsidR="008E3C6D" w:rsidRPr="003A6DB3" w:rsidRDefault="00A42AD4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zvládať zložité technické alebo odborné aktivity, alebo projekty v špecializácii, vziať zodpovednosť za rozhodnutia v tejto oblasti</w:t>
            </w:r>
          </w:p>
          <w:p w:rsidR="008E3C6D" w:rsidRPr="003A6DB3" w:rsidRDefault="00A42AD4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efektívne komunikovať informácie, myšlienky, problémy a riešenia smerom k odbornej ale aj širšej verejnosti </w:t>
            </w:r>
          </w:p>
          <w:p w:rsidR="008E3C6D" w:rsidRPr="003A6DB3" w:rsidRDefault="00A42AD4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účinkovať </w:t>
            </w:r>
            <w:r w:rsidR="003A6DB3" w:rsidRPr="003A6DB3">
              <w:t>efektívne v národnom aj medzinárodnom prostredí</w:t>
            </w:r>
            <w:r w:rsidRPr="003A6DB3">
              <w:t xml:space="preserve"> ako jednotlivec alebo ako člen tímu, efektívne spolupracovať s technikmi aj </w:t>
            </w:r>
            <w:proofErr w:type="spellStart"/>
            <w:r w:rsidRPr="003A6DB3">
              <w:t>netechnikmi</w:t>
            </w:r>
            <w:proofErr w:type="spellEnd"/>
          </w:p>
          <w:p w:rsidR="008E3C6D" w:rsidRPr="003A6DB3" w:rsidRDefault="00A42AD4" w:rsidP="00343230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 xml:space="preserve">byť schopní rozpoznať potrebu pre </w:t>
            </w:r>
            <w:r w:rsidR="003A6DB3" w:rsidRPr="003A6DB3">
              <w:t>celoživotné vzdelávanie a aktívne sa do neho zapojiť</w:t>
            </w:r>
          </w:p>
          <w:p w:rsidR="00CF7EFC" w:rsidRPr="00CC1DDE" w:rsidRDefault="00A42AD4" w:rsidP="00CF7EFC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sledovať vývoj vo vede a technike</w:t>
            </w:r>
            <w:r w:rsidR="003A6DB3" w:rsidRPr="003A6DB3">
              <w:t>.</w:t>
            </w:r>
          </w:p>
        </w:tc>
      </w:tr>
      <w:tr w:rsidR="00B35760" w:rsidRPr="00690E8C" w:rsidTr="00B35760">
        <w:tc>
          <w:tcPr>
            <w:tcW w:w="2972" w:type="dxa"/>
            <w:vMerge/>
          </w:tcPr>
          <w:p w:rsidR="00B35760" w:rsidRPr="00690E8C" w:rsidRDefault="00B35760" w:rsidP="002A28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:rsidR="00A42AD4" w:rsidRPr="003A6DB3" w:rsidRDefault="00F714AB" w:rsidP="003A6DB3">
            <w:pPr>
              <w:pStyle w:val="Bezriadkovania"/>
            </w:pPr>
            <w:r w:rsidRPr="003A6DB3">
              <w:t>Absolventi 2. cyklu by mali</w:t>
            </w:r>
          </w:p>
          <w:p w:rsidR="00FE5B50" w:rsidRPr="003A6DB3" w:rsidRDefault="00A42AD4" w:rsidP="00A42AD4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integrovať znalosti a zvládať zložitosť problémov,  pri neúplných alebo obmedzených informáciách</w:t>
            </w:r>
            <w:r w:rsidR="00FE5B50" w:rsidRPr="003A6DB3">
              <w:t xml:space="preserve"> formulovať stanoviská</w:t>
            </w:r>
            <w:r w:rsidRPr="003A6DB3">
              <w:t>, ktoré zohľadňujú aj spoločenské a etické zodpov</w:t>
            </w:r>
            <w:r w:rsidR="00FE5B50" w:rsidRPr="003A6DB3">
              <w:t>e</w:t>
            </w:r>
            <w:r w:rsidRPr="003A6DB3">
              <w:t>dnosti spojené s aplikáciou</w:t>
            </w:r>
            <w:r w:rsidR="00FE5B50" w:rsidRPr="003A6DB3">
              <w:t xml:space="preserve"> týchto stanovísk</w:t>
            </w:r>
          </w:p>
          <w:p w:rsidR="00FE5B50" w:rsidRPr="003A6DB3" w:rsidRDefault="00FE5B50" w:rsidP="00A42AD4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zvládať zložité technické alebo odborné aktivity, alebo projekty, ktoré môžu vyžadovať nové strategické prístupy. Vziať zodpoved</w:t>
            </w:r>
            <w:r w:rsidR="003A6DB3" w:rsidRPr="003A6DB3">
              <w:t>nosť za rozhodnutia v tejto oblasti</w:t>
            </w:r>
          </w:p>
          <w:p w:rsidR="00FE5B50" w:rsidRPr="003A6DB3" w:rsidRDefault="00FE5B50" w:rsidP="00A42AD4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používať rôzne metódy</w:t>
            </w:r>
            <w:r w:rsidR="003A6DB3" w:rsidRPr="003A6DB3">
              <w:t xml:space="preserve"> na </w:t>
            </w:r>
            <w:r w:rsidRPr="003A6DB3">
              <w:t>jasnú a jednoznačnú komunikáciu svojich záverov ako aj ich zdôvodnení - sm</w:t>
            </w:r>
            <w:r w:rsidR="003A6DB3" w:rsidRPr="003A6DB3">
              <w:t>e</w:t>
            </w:r>
            <w:r w:rsidRPr="003A6DB3">
              <w:t>rom k odbornej aj širokej verejnosti v národnom a</w:t>
            </w:r>
            <w:r w:rsidR="00690E8C" w:rsidRPr="003A6DB3">
              <w:t>j medzinárodnom prostredí</w:t>
            </w:r>
          </w:p>
          <w:p w:rsidR="00FE5B50" w:rsidRPr="003A6DB3" w:rsidRDefault="00FE5B50" w:rsidP="00A42AD4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účinkovať efektívne v národných aj medz</w:t>
            </w:r>
            <w:r w:rsidR="003A6DB3" w:rsidRPr="003A6DB3">
              <w:t>i</w:t>
            </w:r>
            <w:r w:rsidRPr="003A6DB3">
              <w:t>národnýc</w:t>
            </w:r>
            <w:r w:rsidR="003A6DB3" w:rsidRPr="003A6DB3">
              <w:t>h kontextoch ako člen alebo vedúci</w:t>
            </w:r>
            <w:r w:rsidRPr="003A6DB3">
              <w:t xml:space="preserve"> tímu, ktorý môže byť zložený z rôznych špecializácií alebo úrovní a môže využívať virtuálne komunikačné nástroje</w:t>
            </w:r>
          </w:p>
          <w:p w:rsidR="00FE5B50" w:rsidRPr="003A6DB3" w:rsidRDefault="00FE5B50" w:rsidP="00A42AD4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zapojiť sa do nezávislého celoživotného vzdelávania</w:t>
            </w:r>
          </w:p>
          <w:p w:rsidR="00FE5B50" w:rsidRPr="003A6DB3" w:rsidRDefault="00FE5B50" w:rsidP="00690E8C">
            <w:pPr>
              <w:numPr>
                <w:ilvl w:val="0"/>
                <w:numId w:val="15"/>
              </w:numPr>
              <w:spacing w:after="0" w:line="240" w:lineRule="auto"/>
            </w:pPr>
            <w:r w:rsidRPr="003A6DB3">
              <w:t>byť schopní samostatne</w:t>
            </w:r>
            <w:r w:rsidR="00690E8C" w:rsidRPr="003A6DB3">
              <w:t xml:space="preserve"> pristupovať k</w:t>
            </w:r>
            <w:r w:rsidRPr="003A6DB3">
              <w:t xml:space="preserve"> ďalšie</w:t>
            </w:r>
            <w:r w:rsidR="00690E8C" w:rsidRPr="003A6DB3">
              <w:t>mu štúdiu</w:t>
            </w:r>
          </w:p>
          <w:p w:rsidR="00CF7EFC" w:rsidRPr="003A6DB3" w:rsidRDefault="00CF7EFC" w:rsidP="00CF7EFC">
            <w:pPr>
              <w:spacing w:after="0" w:line="240" w:lineRule="auto"/>
              <w:ind w:left="360"/>
              <w:rPr>
                <w:rFonts w:cs="Arial"/>
              </w:rPr>
            </w:pPr>
          </w:p>
        </w:tc>
      </w:tr>
    </w:tbl>
    <w:p w:rsidR="008B3D21" w:rsidRPr="00690E8C" w:rsidRDefault="008B3D21"/>
    <w:sectPr w:rsidR="008B3D21" w:rsidRPr="00690E8C" w:rsidSect="0095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15" w:rsidRDefault="00D63A15" w:rsidP="00B504DE">
      <w:pPr>
        <w:spacing w:after="0" w:line="240" w:lineRule="auto"/>
      </w:pPr>
      <w:r>
        <w:separator/>
      </w:r>
    </w:p>
  </w:endnote>
  <w:endnote w:type="continuationSeparator" w:id="0">
    <w:p w:rsidR="00D63A15" w:rsidRDefault="00D63A15" w:rsidP="00B5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17" w:rsidRDefault="00227A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943"/>
      <w:docPartObj>
        <w:docPartGallery w:val="Page Numbers (Bottom of Page)"/>
        <w:docPartUnique/>
      </w:docPartObj>
    </w:sdtPr>
    <w:sdtEndPr/>
    <w:sdtContent>
      <w:p w:rsidR="002A2826" w:rsidRDefault="002A2826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A2826" w:rsidRDefault="002A282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17" w:rsidRDefault="00227A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15" w:rsidRDefault="00D63A15" w:rsidP="00B504DE">
      <w:pPr>
        <w:spacing w:after="0" w:line="240" w:lineRule="auto"/>
      </w:pPr>
      <w:r>
        <w:separator/>
      </w:r>
    </w:p>
  </w:footnote>
  <w:footnote w:type="continuationSeparator" w:id="0">
    <w:p w:rsidR="00D63A15" w:rsidRDefault="00D63A15" w:rsidP="00B5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17" w:rsidRDefault="00227A1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B0" w:rsidRDefault="00D97EB0">
    <w:pPr>
      <w:pStyle w:val="Hlavika"/>
    </w:pPr>
  </w:p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5528"/>
      <w:gridCol w:w="2835"/>
    </w:tblGrid>
    <w:tr w:rsidR="00D97EB0" w:rsidRPr="00D97EB0" w:rsidTr="00CB7241">
      <w:trPr>
        <w:trHeight w:val="1125"/>
      </w:trPr>
      <w:tc>
        <w:tcPr>
          <w:tcW w:w="1668" w:type="dxa"/>
          <w:vAlign w:val="center"/>
        </w:tcPr>
        <w:p w:rsidR="00D97EB0" w:rsidRPr="00D97EB0" w:rsidRDefault="00D97EB0" w:rsidP="00D97EB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eastAsia="sk-SK"/>
            </w:rPr>
          </w:pPr>
          <w:r w:rsidRPr="00D97EB0">
            <w:rPr>
              <w:rFonts w:ascii="Arial" w:eastAsia="Calibri" w:hAnsi="Arial" w:cs="Arial"/>
              <w:noProof/>
              <w:sz w:val="20"/>
              <w:szCs w:val="20"/>
              <w:lang w:eastAsia="sk-SK"/>
            </w:rPr>
            <w:drawing>
              <wp:inline distT="0" distB="0" distL="0" distR="0" wp14:anchorId="7E1FE5A0" wp14:editId="28B9221D">
                <wp:extent cx="771525" cy="592101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258" cy="592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F2F2F2"/>
        </w:tcPr>
        <w:p w:rsidR="00D97EB0" w:rsidRPr="00D97EB0" w:rsidRDefault="00A11626" w:rsidP="00D97EB0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18"/>
              <w:lang w:eastAsia="sk-SK"/>
            </w:rPr>
          </w:pPr>
          <w:r>
            <w:rPr>
              <w:rFonts w:ascii="Arial" w:eastAsia="Times New Roman" w:hAnsi="Arial" w:cs="Times New Roman"/>
              <w:sz w:val="18"/>
              <w:szCs w:val="18"/>
              <w:lang w:eastAsia="sk-SK"/>
            </w:rPr>
            <w:t>Štand</w:t>
          </w:r>
          <w:r w:rsidR="00227A17">
            <w:rPr>
              <w:rFonts w:ascii="Arial" w:eastAsia="Times New Roman" w:hAnsi="Arial" w:cs="Times New Roman"/>
              <w:sz w:val="18"/>
              <w:szCs w:val="18"/>
              <w:lang w:eastAsia="sk-SK"/>
            </w:rPr>
            <w:t>a</w:t>
          </w:r>
          <w:r>
            <w:rPr>
              <w:rFonts w:ascii="Arial" w:eastAsia="Times New Roman" w:hAnsi="Arial" w:cs="Times New Roman"/>
              <w:sz w:val="18"/>
              <w:szCs w:val="18"/>
              <w:lang w:eastAsia="sk-SK"/>
            </w:rPr>
            <w:t>rdy a špecifikácie</w:t>
          </w:r>
          <w:r w:rsidR="00D97EB0" w:rsidRPr="00D97EB0">
            <w:rPr>
              <w:rFonts w:ascii="Arial" w:eastAsia="Times New Roman" w:hAnsi="Arial" w:cs="Times New Roman"/>
              <w:sz w:val="18"/>
              <w:szCs w:val="18"/>
              <w:lang w:eastAsia="sk-SK"/>
            </w:rPr>
            <w:t xml:space="preserve"> AC ZSVTS </w:t>
          </w:r>
        </w:p>
        <w:p w:rsidR="00D97EB0" w:rsidRPr="00D97EB0" w:rsidRDefault="00D97EB0" w:rsidP="00D97EB0">
          <w:pPr>
            <w:spacing w:after="0" w:line="240" w:lineRule="auto"/>
            <w:rPr>
              <w:rFonts w:ascii="Arial" w:eastAsia="Times New Roman" w:hAnsi="Arial" w:cs="Times New Roman"/>
              <w:b/>
              <w:sz w:val="4"/>
              <w:szCs w:val="4"/>
              <w:lang w:eastAsia="sk-SK"/>
            </w:rPr>
          </w:pPr>
        </w:p>
        <w:p w:rsidR="00D97EB0" w:rsidRPr="00D97EB0" w:rsidRDefault="00D97EB0" w:rsidP="00D97EB0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sk-SK"/>
            </w:rPr>
          </w:pPr>
        </w:p>
        <w:p w:rsidR="00D97EB0" w:rsidRPr="00D97EB0" w:rsidRDefault="0099078B" w:rsidP="00A11626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lang w:eastAsia="sk-SK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eastAsia="sk-SK"/>
            </w:rPr>
            <w:t xml:space="preserve">ST-07-01 </w:t>
          </w:r>
          <w:r w:rsidR="00A11626">
            <w:rPr>
              <w:rFonts w:ascii="Arial" w:eastAsia="Times New Roman" w:hAnsi="Arial" w:cs="Times New Roman"/>
              <w:b/>
              <w:sz w:val="24"/>
              <w:szCs w:val="24"/>
              <w:lang w:eastAsia="sk-SK"/>
            </w:rPr>
            <w:t>Kritériá a štandardy akreditácie</w:t>
          </w:r>
        </w:p>
      </w:tc>
      <w:tc>
        <w:tcPr>
          <w:tcW w:w="2835" w:type="dxa"/>
          <w:vAlign w:val="center"/>
        </w:tcPr>
        <w:p w:rsidR="00D97EB0" w:rsidRPr="00D97EB0" w:rsidRDefault="00A11626" w:rsidP="00D97EB0">
          <w:pPr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  <w:lang w:eastAsia="sk-SK"/>
            </w:rPr>
          </w:pPr>
          <w:r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>Strana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: 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fldChar w:fldCharType="begin"/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instrText xml:space="preserve"> PAGE </w:instrTex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fldChar w:fldCharType="separate"/>
          </w:r>
          <w:r w:rsidR="00083EA5">
            <w:rPr>
              <w:rFonts w:ascii="Arial" w:eastAsia="Times New Roman" w:hAnsi="Arial" w:cs="Times New Roman"/>
              <w:noProof/>
              <w:sz w:val="16"/>
              <w:szCs w:val="16"/>
              <w:lang w:eastAsia="sk-SK"/>
            </w:rPr>
            <w:t>7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fldChar w:fldCharType="end"/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 / 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fldChar w:fldCharType="begin"/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instrText xml:space="preserve"> NUMPAGES  </w:instrTex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fldChar w:fldCharType="separate"/>
          </w:r>
          <w:r w:rsidR="00083EA5">
            <w:rPr>
              <w:rFonts w:ascii="Arial" w:eastAsia="Times New Roman" w:hAnsi="Arial" w:cs="Times New Roman"/>
              <w:noProof/>
              <w:sz w:val="16"/>
              <w:szCs w:val="16"/>
              <w:lang w:eastAsia="sk-SK"/>
            </w:rPr>
            <w:t>8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fldChar w:fldCharType="end"/>
          </w:r>
        </w:p>
        <w:p w:rsidR="00D97EB0" w:rsidRPr="00D97EB0" w:rsidRDefault="00A11626" w:rsidP="00D97EB0">
          <w:pPr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  <w:lang w:eastAsia="sk-SK"/>
            </w:rPr>
          </w:pPr>
          <w:r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>Vydané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: </w:t>
          </w:r>
          <w:proofErr w:type="spellStart"/>
          <w:r w:rsidR="0034342C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>Oct</w:t>
          </w:r>
          <w:proofErr w:type="spellEnd"/>
          <w:r w:rsidR="0034342C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 5, 2015</w:t>
          </w:r>
        </w:p>
        <w:p w:rsidR="00D97EB0" w:rsidRPr="00D97EB0" w:rsidRDefault="00A11626" w:rsidP="00D97EB0">
          <w:pPr>
            <w:spacing w:after="0" w:line="240" w:lineRule="auto"/>
            <w:rPr>
              <w:rFonts w:ascii="Arial" w:eastAsia="Times New Roman" w:hAnsi="Arial" w:cs="Times New Roman"/>
              <w:sz w:val="20"/>
              <w:szCs w:val="20"/>
              <w:lang w:eastAsia="sk-SK"/>
            </w:rPr>
          </w:pPr>
          <w:r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>Posledná revízia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>:</w:t>
          </w:r>
          <w:r w:rsidR="0034342C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 </w:t>
          </w:r>
          <w:proofErr w:type="spellStart"/>
          <w:r w:rsidR="0034342C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>Dec</w:t>
          </w:r>
          <w:proofErr w:type="spellEnd"/>
          <w:r w:rsidR="0034342C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 1, 2015</w:t>
          </w:r>
          <w:r w:rsidR="00D97EB0" w:rsidRPr="00D97EB0">
            <w:rPr>
              <w:rFonts w:ascii="Arial" w:eastAsia="Times New Roman" w:hAnsi="Arial" w:cs="Times New Roman"/>
              <w:sz w:val="16"/>
              <w:szCs w:val="16"/>
              <w:lang w:eastAsia="sk-SK"/>
            </w:rPr>
            <w:t xml:space="preserve">       </w:t>
          </w:r>
        </w:p>
      </w:tc>
    </w:tr>
  </w:tbl>
  <w:p w:rsidR="00D97EB0" w:rsidRDefault="00D97EB0">
    <w:pPr>
      <w:pStyle w:val="Hlavika"/>
    </w:pPr>
  </w:p>
  <w:p w:rsidR="00D97EB0" w:rsidRDefault="00D97E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A17" w:rsidRDefault="00227A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31D"/>
    <w:multiLevelType w:val="hybridMultilevel"/>
    <w:tmpl w:val="939C60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E7CDD"/>
    <w:multiLevelType w:val="hybridMultilevel"/>
    <w:tmpl w:val="2D267F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F7669"/>
    <w:multiLevelType w:val="hybridMultilevel"/>
    <w:tmpl w:val="0F0A39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83FBC"/>
    <w:multiLevelType w:val="hybridMultilevel"/>
    <w:tmpl w:val="F0C42F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07570"/>
    <w:multiLevelType w:val="hybridMultilevel"/>
    <w:tmpl w:val="9990CB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03B41"/>
    <w:multiLevelType w:val="hybridMultilevel"/>
    <w:tmpl w:val="DF020B2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70DF9"/>
    <w:multiLevelType w:val="hybridMultilevel"/>
    <w:tmpl w:val="983E2F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01B0A"/>
    <w:multiLevelType w:val="multilevel"/>
    <w:tmpl w:val="562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1A5AE3"/>
    <w:multiLevelType w:val="hybridMultilevel"/>
    <w:tmpl w:val="2626E8F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F569A0"/>
    <w:multiLevelType w:val="hybridMultilevel"/>
    <w:tmpl w:val="EBCA2DC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8066A"/>
    <w:multiLevelType w:val="hybridMultilevel"/>
    <w:tmpl w:val="1A6047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C5747B"/>
    <w:multiLevelType w:val="hybridMultilevel"/>
    <w:tmpl w:val="F1FE41F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6B41"/>
    <w:multiLevelType w:val="hybridMultilevel"/>
    <w:tmpl w:val="F84C4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87987"/>
    <w:multiLevelType w:val="hybridMultilevel"/>
    <w:tmpl w:val="459824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1128B"/>
    <w:multiLevelType w:val="hybridMultilevel"/>
    <w:tmpl w:val="466E68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9862BF"/>
    <w:multiLevelType w:val="hybridMultilevel"/>
    <w:tmpl w:val="FA08D0B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3B27A7"/>
    <w:multiLevelType w:val="hybridMultilevel"/>
    <w:tmpl w:val="D41CB80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107797"/>
    <w:multiLevelType w:val="hybridMultilevel"/>
    <w:tmpl w:val="823E2B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641AD"/>
    <w:multiLevelType w:val="multilevel"/>
    <w:tmpl w:val="562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5C97516"/>
    <w:multiLevelType w:val="multilevel"/>
    <w:tmpl w:val="562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FF424C"/>
    <w:multiLevelType w:val="hybridMultilevel"/>
    <w:tmpl w:val="09C6491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872DCB"/>
    <w:multiLevelType w:val="hybridMultilevel"/>
    <w:tmpl w:val="24589B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C319E"/>
    <w:multiLevelType w:val="hybridMultilevel"/>
    <w:tmpl w:val="56929C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65163F"/>
    <w:multiLevelType w:val="hybridMultilevel"/>
    <w:tmpl w:val="25A0E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1"/>
  </w:num>
  <w:num w:numId="5">
    <w:abstractNumId w:val="10"/>
  </w:num>
  <w:num w:numId="6">
    <w:abstractNumId w:val="21"/>
  </w:num>
  <w:num w:numId="7">
    <w:abstractNumId w:val="1"/>
  </w:num>
  <w:num w:numId="8">
    <w:abstractNumId w:val="17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22"/>
  </w:num>
  <w:num w:numId="14">
    <w:abstractNumId w:val="8"/>
  </w:num>
  <w:num w:numId="15">
    <w:abstractNumId w:val="15"/>
  </w:num>
  <w:num w:numId="16">
    <w:abstractNumId w:val="6"/>
  </w:num>
  <w:num w:numId="17">
    <w:abstractNumId w:val="23"/>
  </w:num>
  <w:num w:numId="18">
    <w:abstractNumId w:val="12"/>
  </w:num>
  <w:num w:numId="19">
    <w:abstractNumId w:val="18"/>
  </w:num>
  <w:num w:numId="20">
    <w:abstractNumId w:val="7"/>
  </w:num>
  <w:num w:numId="21">
    <w:abstractNumId w:val="19"/>
  </w:num>
  <w:num w:numId="22">
    <w:abstractNumId w:val="9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C5"/>
    <w:rsid w:val="000215DD"/>
    <w:rsid w:val="000606BF"/>
    <w:rsid w:val="00076369"/>
    <w:rsid w:val="00083EA5"/>
    <w:rsid w:val="000E0846"/>
    <w:rsid w:val="00113F12"/>
    <w:rsid w:val="00114F00"/>
    <w:rsid w:val="00163491"/>
    <w:rsid w:val="001A3596"/>
    <w:rsid w:val="00227A17"/>
    <w:rsid w:val="00230474"/>
    <w:rsid w:val="002330DE"/>
    <w:rsid w:val="00247143"/>
    <w:rsid w:val="00251033"/>
    <w:rsid w:val="002A2826"/>
    <w:rsid w:val="002C5681"/>
    <w:rsid w:val="002F0BFB"/>
    <w:rsid w:val="00343230"/>
    <w:rsid w:val="0034342C"/>
    <w:rsid w:val="0039029E"/>
    <w:rsid w:val="003A2230"/>
    <w:rsid w:val="003A6DB3"/>
    <w:rsid w:val="003C6A5B"/>
    <w:rsid w:val="003F59F6"/>
    <w:rsid w:val="004018C6"/>
    <w:rsid w:val="00414C83"/>
    <w:rsid w:val="00452455"/>
    <w:rsid w:val="00453477"/>
    <w:rsid w:val="00466938"/>
    <w:rsid w:val="004B64FD"/>
    <w:rsid w:val="004D5F4B"/>
    <w:rsid w:val="004E024D"/>
    <w:rsid w:val="004E1C4E"/>
    <w:rsid w:val="004F2045"/>
    <w:rsid w:val="005012D6"/>
    <w:rsid w:val="005556DD"/>
    <w:rsid w:val="00561C6D"/>
    <w:rsid w:val="00570358"/>
    <w:rsid w:val="00594D2D"/>
    <w:rsid w:val="005A2871"/>
    <w:rsid w:val="005B2B97"/>
    <w:rsid w:val="005B307A"/>
    <w:rsid w:val="005C5A40"/>
    <w:rsid w:val="005C5AAE"/>
    <w:rsid w:val="005F45ED"/>
    <w:rsid w:val="00667269"/>
    <w:rsid w:val="006700FF"/>
    <w:rsid w:val="00685FD6"/>
    <w:rsid w:val="00690E8C"/>
    <w:rsid w:val="006F5BBF"/>
    <w:rsid w:val="007115BB"/>
    <w:rsid w:val="0072702C"/>
    <w:rsid w:val="00733E03"/>
    <w:rsid w:val="00747535"/>
    <w:rsid w:val="007505F6"/>
    <w:rsid w:val="00784235"/>
    <w:rsid w:val="00786294"/>
    <w:rsid w:val="00795F02"/>
    <w:rsid w:val="007B0FD9"/>
    <w:rsid w:val="007D1D0A"/>
    <w:rsid w:val="007D3B3C"/>
    <w:rsid w:val="007D5883"/>
    <w:rsid w:val="00805A74"/>
    <w:rsid w:val="00863A51"/>
    <w:rsid w:val="0089603F"/>
    <w:rsid w:val="00896B4D"/>
    <w:rsid w:val="00897F3D"/>
    <w:rsid w:val="008B3D21"/>
    <w:rsid w:val="008E3C6D"/>
    <w:rsid w:val="008F6790"/>
    <w:rsid w:val="00934BF3"/>
    <w:rsid w:val="00950D61"/>
    <w:rsid w:val="00953F5C"/>
    <w:rsid w:val="00985814"/>
    <w:rsid w:val="0099078B"/>
    <w:rsid w:val="009952CB"/>
    <w:rsid w:val="009953F1"/>
    <w:rsid w:val="009E5764"/>
    <w:rsid w:val="009F66A4"/>
    <w:rsid w:val="00A11626"/>
    <w:rsid w:val="00A1652E"/>
    <w:rsid w:val="00A33769"/>
    <w:rsid w:val="00A361ED"/>
    <w:rsid w:val="00A42AD4"/>
    <w:rsid w:val="00A469C7"/>
    <w:rsid w:val="00A75134"/>
    <w:rsid w:val="00A7692E"/>
    <w:rsid w:val="00A802DF"/>
    <w:rsid w:val="00A95640"/>
    <w:rsid w:val="00AB4F5D"/>
    <w:rsid w:val="00AB53D6"/>
    <w:rsid w:val="00AC06DF"/>
    <w:rsid w:val="00AE306C"/>
    <w:rsid w:val="00B35760"/>
    <w:rsid w:val="00B359DC"/>
    <w:rsid w:val="00B370C5"/>
    <w:rsid w:val="00B504DE"/>
    <w:rsid w:val="00B70DEB"/>
    <w:rsid w:val="00B76435"/>
    <w:rsid w:val="00B76A92"/>
    <w:rsid w:val="00B86511"/>
    <w:rsid w:val="00B86B94"/>
    <w:rsid w:val="00BC1FB7"/>
    <w:rsid w:val="00BC224F"/>
    <w:rsid w:val="00BD0B25"/>
    <w:rsid w:val="00BD3BFA"/>
    <w:rsid w:val="00BF53EC"/>
    <w:rsid w:val="00C10FB9"/>
    <w:rsid w:val="00C222E8"/>
    <w:rsid w:val="00C2702E"/>
    <w:rsid w:val="00C536E5"/>
    <w:rsid w:val="00C6636C"/>
    <w:rsid w:val="00CA336A"/>
    <w:rsid w:val="00CB13BC"/>
    <w:rsid w:val="00CB7241"/>
    <w:rsid w:val="00CC1DDE"/>
    <w:rsid w:val="00CD6883"/>
    <w:rsid w:val="00CE19BC"/>
    <w:rsid w:val="00CF7EFC"/>
    <w:rsid w:val="00D1007A"/>
    <w:rsid w:val="00D3096A"/>
    <w:rsid w:val="00D55683"/>
    <w:rsid w:val="00D63A15"/>
    <w:rsid w:val="00D72E26"/>
    <w:rsid w:val="00D97EB0"/>
    <w:rsid w:val="00D97F69"/>
    <w:rsid w:val="00DA4E2B"/>
    <w:rsid w:val="00DC6C0E"/>
    <w:rsid w:val="00DE7E18"/>
    <w:rsid w:val="00E00FD1"/>
    <w:rsid w:val="00E51A1E"/>
    <w:rsid w:val="00E62083"/>
    <w:rsid w:val="00E67539"/>
    <w:rsid w:val="00E96153"/>
    <w:rsid w:val="00EC6D38"/>
    <w:rsid w:val="00EF03BF"/>
    <w:rsid w:val="00F21797"/>
    <w:rsid w:val="00F36AD9"/>
    <w:rsid w:val="00F456C6"/>
    <w:rsid w:val="00F714AB"/>
    <w:rsid w:val="00F86D8A"/>
    <w:rsid w:val="00F927EB"/>
    <w:rsid w:val="00F97DCE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FA0BD"/>
  <w15:docId w15:val="{6A5106EC-2F5E-4AA7-BF39-41667629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70C5"/>
  </w:style>
  <w:style w:type="paragraph" w:styleId="Nadpis1">
    <w:name w:val="heading 1"/>
    <w:basedOn w:val="Normlny"/>
    <w:next w:val="Normlny"/>
    <w:link w:val="Nadpis1Char"/>
    <w:uiPriority w:val="9"/>
    <w:qFormat/>
    <w:rsid w:val="00A9564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5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5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70C5"/>
  </w:style>
  <w:style w:type="paragraph" w:styleId="Textbubliny">
    <w:name w:val="Balloon Text"/>
    <w:basedOn w:val="Normlny"/>
    <w:link w:val="TextbublinyChar"/>
    <w:uiPriority w:val="99"/>
    <w:semiHidden/>
    <w:unhideWhenUsed/>
    <w:rsid w:val="00B3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70C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8629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5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4DE"/>
  </w:style>
  <w:style w:type="character" w:customStyle="1" w:styleId="Nadpis1Char">
    <w:name w:val="Nadpis 1 Char"/>
    <w:basedOn w:val="Predvolenpsmoodseku"/>
    <w:link w:val="Nadpis1"/>
    <w:uiPriority w:val="9"/>
    <w:rsid w:val="00A95640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5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25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obsahu">
    <w:name w:val="TOC Heading"/>
    <w:basedOn w:val="Nadpis1"/>
    <w:next w:val="Normlny"/>
    <w:uiPriority w:val="39"/>
    <w:unhideWhenUsed/>
    <w:qFormat/>
    <w:rsid w:val="00251033"/>
    <w:pPr>
      <w:outlineLvl w:val="9"/>
    </w:pPr>
  </w:style>
  <w:style w:type="paragraph" w:styleId="Obsah3">
    <w:name w:val="toc 3"/>
    <w:basedOn w:val="Normlny"/>
    <w:next w:val="Normlny"/>
    <w:autoRedefine/>
    <w:uiPriority w:val="39"/>
    <w:unhideWhenUsed/>
    <w:rsid w:val="00251033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251033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3A6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3658-7941-4379-AC5D-944C5257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21</cp:revision>
  <dcterms:created xsi:type="dcterms:W3CDTF">2015-12-05T13:14:00Z</dcterms:created>
  <dcterms:modified xsi:type="dcterms:W3CDTF">2016-01-21T09:51:00Z</dcterms:modified>
</cp:coreProperties>
</file>